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E41" w:rsidRDefault="00D13E41" w:rsidP="009F1DCF">
      <w:pPr>
        <w:pStyle w:val="Titre1"/>
      </w:pPr>
      <w:bookmarkStart w:id="0" w:name="_GoBack"/>
      <w:bookmarkEnd w:id="0"/>
    </w:p>
    <w:p w:rsidR="00D13E41" w:rsidRDefault="00D13E41" w:rsidP="009F1DCF">
      <w:pPr>
        <w:pStyle w:val="Titre1"/>
      </w:pPr>
    </w:p>
    <w:p w:rsidR="009F1DCF" w:rsidRDefault="009F1DCF" w:rsidP="009F1DCF">
      <w:pPr>
        <w:pStyle w:val="Titre1"/>
      </w:pPr>
      <w:r>
        <w:t>Pour une ville de Longueuil véritablement durable et sécuritaire</w:t>
      </w:r>
    </w:p>
    <w:p w:rsidR="009F1DCF" w:rsidRDefault="009F1DCF" w:rsidP="009F1DCF">
      <w:r>
        <w:t>Le Regroupement des aveugles et amblyopes du Montréal métropolitain (RAAMM) est un organisme de défense des droits des personnes aveugles et malvoyantes qui résident dans l’agglomération de Longueuil, à Montréal et à Laval. Ses actions visent à bâtir une société universellement accessible et inclusive où les personnes que nous représentons peuvent s’accomplir et s’engager activement. Nous visons à être le pôle d’influence en accessibilité universelle pour les personnes aveugles et malvoyantes du Montréal métropolitain. Nos territoires d’intervention englobent une population de 150 000 personnes ayant des limitations visuelles.</w:t>
      </w:r>
    </w:p>
    <w:p w:rsidR="009F1DCF" w:rsidRDefault="009F1DCF" w:rsidP="009F1DCF">
      <w:r>
        <w:t>Nous siégeons au comité des partenaires du Plan d’action des personnes handicapées de la Ville de Longueuil. Nous collaborons avec le Réseau de transport de Longueuil (RTL) en vue de l’amélioration des services de transport en commun, notamment en lien avec la mise en place d’un système d’annonce verbale des arrêts d’autobus. Nous participons également aux travaux de comités plus spécifiques, notamment le comité qui effectue le suivi des travaux en cours autour de la station de métro Longueuil Université de Sherbrooke.</w:t>
      </w:r>
    </w:p>
    <w:p w:rsidR="009F1DCF" w:rsidRDefault="009F1DCF" w:rsidP="009F1DCF"/>
    <w:p w:rsidR="009F1DCF" w:rsidRDefault="009F1DCF" w:rsidP="009F1DCF">
      <w:pPr>
        <w:pStyle w:val="Titre1"/>
      </w:pPr>
      <w:r>
        <w:t>Un processus de consultation marqué par des lacunes en matière d’accessibilité numérique</w:t>
      </w:r>
    </w:p>
    <w:p w:rsidR="009F1DCF" w:rsidRDefault="009F1DCF" w:rsidP="009F1DCF">
      <w:r>
        <w:t xml:space="preserve">Bien que fortement motivés à participer à la consultation faisant l’objet de ce mémoire, nous ne pouvons passer sous silence des manquements en accessibilité numérique des documents qui ont été produits et versés en ligne. C’est ainsi que nous, et d’autres personnes aveugles et malvoyantes, avons été confrontés à des documents dont certaines parties n’ont pu être lues correctement par les logiciels de revue d’écran. Des versions plus accessibles ont été versées subséquemment par l’Office de participation publique de Longueuil (OPPL). Cependant, ces contenus sont devenus plus accessibles à la toute dernière minute, restreignant grandement la capacité des personnes aveugles et malvoyantes de participer pleinement à la démarche. À notre avis, c’est ici une leçon </w:t>
      </w:r>
      <w:r>
        <w:lastRenderedPageBreak/>
        <w:t>à retenir, d’autant plus que la contribution des citoyens et des représentants de la société civile constitue un ingrédient essentiel pour le succès d’une transition vers une mobilité durable et sécuritaire.</w:t>
      </w:r>
    </w:p>
    <w:p w:rsidR="009F1DCF" w:rsidRDefault="009F1DCF" w:rsidP="009F1DCF"/>
    <w:p w:rsidR="009F1DCF" w:rsidRDefault="009F1DCF" w:rsidP="009F1DCF">
      <w:pPr>
        <w:pStyle w:val="Titre1"/>
      </w:pPr>
      <w:r>
        <w:t>Une bonne amorce</w:t>
      </w:r>
    </w:p>
    <w:p w:rsidR="009F1DCF" w:rsidRDefault="009F1DCF" w:rsidP="009F1DCF">
      <w:r>
        <w:t>Nous sommes en accord avec l’ensemble des avis qui ont été produits par les panels de citoyens, de représentants de la société civile ainsi que par les employés des services de la Ville de Longueuil. En particulier, ces avis ont tous insisté sur la nécessité que les aménagements réalisés dans un éventuel plan vers la mobilité durable et sécuritaire tiennent compte des besoins de l’ensemble de la population. De façon encore plus précise, le panel de la société civile a mentionné l’accessibilité universelle. Nous nous en réjouissons et enjoignons la Ville de Longueuil à y donner suite, notamment en mettant en place les mécanismes et les processus nécessaires pour concrétiser la politique en accessibilité universelle, adoptée à l’automne 2025.</w:t>
      </w:r>
    </w:p>
    <w:p w:rsidR="009F1DCF" w:rsidRDefault="009F1DCF" w:rsidP="009F1DCF"/>
    <w:p w:rsidR="009F1DCF" w:rsidRDefault="009F1DCF" w:rsidP="009F1DCF">
      <w:pPr>
        <w:pStyle w:val="Titre1"/>
      </w:pPr>
      <w:r>
        <w:t>L’accessibilité universelle, un fil conducteur d’une mobilité durable et véritablement sécuritaire</w:t>
      </w:r>
    </w:p>
    <w:p w:rsidR="009F1DCF" w:rsidRPr="00E00857" w:rsidRDefault="009F1DCF" w:rsidP="009F1DCF">
      <w:pPr>
        <w:widowControl w:val="0"/>
        <w:spacing w:beforeLines="150" w:before="360" w:afterLines="150" w:after="360" w:line="240" w:lineRule="auto"/>
        <w:rPr>
          <w:sz w:val="28"/>
          <w:szCs w:val="28"/>
        </w:rPr>
      </w:pPr>
      <w:r>
        <w:t>Rappelons ici en quoi consiste l’accessibilité universelle, selon la politique récemment adoptée : l</w:t>
      </w:r>
      <w:r w:rsidRPr="00E00857">
        <w:rPr>
          <w:sz w:val="28"/>
          <w:szCs w:val="28"/>
        </w:rPr>
        <w:t>’accessibilité universelle</w:t>
      </w:r>
      <w:r>
        <w:rPr>
          <w:sz w:val="28"/>
          <w:szCs w:val="28"/>
        </w:rPr>
        <w:t xml:space="preserve"> </w:t>
      </w:r>
      <w:r w:rsidRPr="00E00857">
        <w:rPr>
          <w:sz w:val="28"/>
          <w:szCs w:val="28"/>
        </w:rPr>
        <w:t>permet la participation de toutes et de tous pour assurer l’équité des expériences et des occasions offertes. L’approche équitable et inclusive de l’accessibilité universelle concerne les produits, les procédés, les services, les informations et les environnements qui permettent à toutes et à tous d’être autonomes, et ce, quelles que soient leurs limitations fonctionnelles ou autres conditions.</w:t>
      </w:r>
    </w:p>
    <w:p w:rsidR="009F1DCF" w:rsidRDefault="009F1DCF" w:rsidP="009F1DCF">
      <w:r>
        <w:t>Au-delà des mécanismes et processus qui devront être mis en place pour assurer des retombées concrètes de la politique, l’accessibilité universelle se traduit par des pratiques spécifiques. Leur intégration dans les plans d’aménagement à venir est donc incontournable si Longueuil veut véritablement favoriser une mobilité durable et sécuritaire.</w:t>
      </w:r>
    </w:p>
    <w:p w:rsidR="009F1DCF" w:rsidRDefault="009F1DCF" w:rsidP="009F1DCF">
      <w:r>
        <w:lastRenderedPageBreak/>
        <w:t>Plus précisément, les aspects suivants devraient faire l’objet d’une attention plus marquée :</w:t>
      </w:r>
    </w:p>
    <w:p w:rsidR="009F1DCF" w:rsidRDefault="009F1DCF" w:rsidP="009F1DCF">
      <w:pPr>
        <w:pStyle w:val="Titre2"/>
      </w:pPr>
      <w:r>
        <w:t>Cohabitation entre les piétons et les aménagements cyclables</w:t>
      </w:r>
    </w:p>
    <w:p w:rsidR="009F1DCF" w:rsidRDefault="009F1DCF" w:rsidP="009F1DCF">
      <w:r>
        <w:t>Nous comprenons qu’une transition vers une mobilité durable implique un changement dans les façons dont les personnes se déplacent dans la ville. La marche est certes une option, mais l’usage du vélo représente une modalité qui peut être plus intéressante, surtout lorsqu’on a besoin de couvrir une plus grande distance. Pour être en mesure de se déplacer à vélo de façon plus fluide et sécuritaire, la Ville de Longueuil sera appelée à déployer un réseau cyclable qui répondra aux besoins de ceux et celles qui choisiront le cyclisme comme mode de déplacement.</w:t>
      </w:r>
    </w:p>
    <w:p w:rsidR="009F1DCF" w:rsidRDefault="009F1DCF" w:rsidP="009F1DCF">
      <w:r>
        <w:t>Or, ces aménagements ne peuvent se faire, sans tenir compte des besoins des piétons. En effet, ils sont appelés à interagir avec ces réseaux.</w:t>
      </w:r>
    </w:p>
    <w:p w:rsidR="009F1DCF" w:rsidRDefault="009F1DCF" w:rsidP="009F1DCF">
      <w:r>
        <w:t>Nous avons été à même de constater qu’à l’heure actuelle, ce n’est déjà pas le cas à certains endroits. Nous avons été à même d’observer que certaines pistes cyclables empiètent sur le trottoir, sans démarcation visuelle et tactile claire.</w:t>
      </w:r>
    </w:p>
    <w:p w:rsidR="009F1DCF" w:rsidRDefault="009F1DCF" w:rsidP="009F1DCF">
      <w:r>
        <w:t>Des aménagements cyclables en site propre, sans contact avec des voies utilisées par les piétons, constituent un cas de figure idéal et difficilement envisageable ou réaliste sur l’ensemble du territoire de la ville.</w:t>
      </w:r>
    </w:p>
    <w:p w:rsidR="009F1DCF" w:rsidRDefault="009F1DCF" w:rsidP="009F1DCF">
      <w:r>
        <w:t>Lorsque de tels aménagements ne peuvent être effectués, il faudra veiller à baliser l’emplacement des pistes et voies cyclables. La ville devra donc veiller à installer des démarcations visuelles et tactiles facilement perceptibles, notamment entre les trottoirs et les voies cyclables, lorsque ces deux zones sont à la même hauteur. Ce faisant, les personnes aveugles et malvoyantes seront mieux à même de déterminer où ils se trouvent sur la voie publique et, si nécessaire, retrouver une zone plus sécuritaire pour elles.</w:t>
      </w:r>
    </w:p>
    <w:p w:rsidR="009F1DCF" w:rsidRDefault="009F1DCF" w:rsidP="009F1DCF">
      <w:pPr>
        <w:pStyle w:val="Titre2"/>
      </w:pPr>
      <w:r>
        <w:t>Sensibiliser les cyclistes à adopter les comportements appropriés</w:t>
      </w:r>
    </w:p>
    <w:p w:rsidR="009F1DCF" w:rsidRDefault="009F1DCF" w:rsidP="009F1DCF">
      <w:r>
        <w:t>Même si la Ville de Longueuil s’assure que les réseaux cyclables sont aménagés de manière exemplaire, les personnes aveugles et malvoyantes (et tous les citoyens, d’ailleurs) doivent être ne mesure de les franchir en toute sécurité. Il importe que les cyclistes adoptent des comportements respectueux du fait qu’ils partagent la voie publique avec les piétons. Nous encourageons donc Longueuil à mettre en place et à mener des actions visant à familiariser les adeptes du vélo à agir adéquatement avec les autres usagers.</w:t>
      </w:r>
    </w:p>
    <w:p w:rsidR="009F1DCF" w:rsidRDefault="009F1DCF" w:rsidP="009F1DCF"/>
    <w:p w:rsidR="009F1DCF" w:rsidRDefault="009F1DCF" w:rsidP="009F1DCF">
      <w:pPr>
        <w:pStyle w:val="Titre2"/>
      </w:pPr>
      <w:r>
        <w:lastRenderedPageBreak/>
        <w:t>Assurer une cohabitation avec les services de transport en commun et adapté</w:t>
      </w:r>
    </w:p>
    <w:p w:rsidR="009F1DCF" w:rsidRDefault="009F1DCF" w:rsidP="009F1DCF">
      <w:r>
        <w:t>Nous observons des tensions entre la capacité de fournir des services optimaux de transport en commun et adapté lorsque les réseaux cyclables se multiplient. Elles sont de deux ordres.</w:t>
      </w:r>
    </w:p>
    <w:p w:rsidR="009F1DCF" w:rsidRDefault="009F1DCF" w:rsidP="009F1DCF">
      <w:r>
        <w:t xml:space="preserve">La proximité de voies cyclables et des arrêts d’autobus peut engendrer des défis importants pour l’ensemble des usagers du transport en commun et, a fortiori, pour les personnes que nous représentons. Le fait de devoir franchir une piste cyclable pour monter à bord des autobus ou de pouvoir joindre le trottoir lorsqu’on en descend peut s’avérer assez difficile et provoquer un sentiment d’insécurité. Ce défi prend encore plus d’ampleur si on choisit de positionner les arrêts d’autobus en aval des intersections. Dans ce cas, une personne aveugle et malvoyante pourra éprouver encore plus de difficulté à identifier le bon moment pour franchir la voie cyclable. Lorsqu’une intersection est contrôlée par des feux de circulation, la personne devra être en mesure de déterminer lorsque le feu passe au rouge. Ce pourrait s’avérer une tâche particulièrement ardue si l’arrêt d’autobus est placé assez loin du coin de la rue. Or, il est très </w:t>
      </w:r>
      <w:proofErr w:type="gramStart"/>
      <w:r>
        <w:t>important</w:t>
      </w:r>
      <w:proofErr w:type="gramEnd"/>
      <w:r>
        <w:t xml:space="preserve"> de pouvoir y parvenir, car les cyclistes ont le droit de poursuivre leur course pour franchir l’intersection lorsque le feu est au vert et arrivent ainsi à l’emplacement de l’arrêt d’autobus avec une certaine vitesse.</w:t>
      </w:r>
    </w:p>
    <w:p w:rsidR="009F1DCF" w:rsidRDefault="009F1DCF" w:rsidP="009F1DCF">
      <w:r>
        <w:t>Nous encourageons donc la Ville de Longueuil à réfléchir et à mettre en place des pratiques, voire une réglementation, qui assure la sécurité des usagers du transport en commun, lorsque des arrêts d’autobus sont installés à proximité de voies cyclables.</w:t>
      </w:r>
    </w:p>
    <w:p w:rsidR="009F1DCF" w:rsidRDefault="009F1DCF" w:rsidP="009F1DCF">
      <w:r>
        <w:t>D’autre part, à l’heure actuelle, nous constatons des contraintes quant à la capacité des fournisseurs de transport adapté à assurer une sécurité optimale lorsqu’un usage doit franchir une voie cyclable. Ces contraintes sont largement attribuables à la réglementation en vigueur à Longueuil. Elle interdit aux véhicules de ce service de pouvoir se stationner dans une voie cyclable. Or, cet état de fait impose aux usagers de devoir franchir des distances plus grandes pour atteindre le véhicule ou de parvenir à leur adresse de destination, puisque les véhicules doivent souvent se stationner plus loin.</w:t>
      </w:r>
    </w:p>
    <w:p w:rsidR="009F1DCF" w:rsidRDefault="009F1DCF" w:rsidP="009F1DCF">
      <w:r>
        <w:t>Pourtant, le temps passé par un véhicule de transport adapté lorsqu’il est stationné est assez court. Nous enjoignons la Ville de Longueuil à examiner et mettre en place des solutions pour éliminer ces contraintes. Ce faisant, elle fera en sorte que les usagers du transport adapté pourront profiter d’un service qui répond encore mieux à leurs besoins. À cet égard, signalons que des travaux sont déjà en cours ailleurs dans la région du Montréal métropolitain.</w:t>
      </w:r>
    </w:p>
    <w:p w:rsidR="009F1DCF" w:rsidRDefault="009F1DCF" w:rsidP="009F1DCF">
      <w:pPr>
        <w:pStyle w:val="Titre2"/>
      </w:pPr>
      <w:r>
        <w:lastRenderedPageBreak/>
        <w:t>Aménager les espaces publics en tenant compte de l’accessibilité universelle</w:t>
      </w:r>
    </w:p>
    <w:p w:rsidR="009F1DCF" w:rsidRDefault="009F1DCF" w:rsidP="009F1DCF">
      <w:r>
        <w:t>Pour favoriser une transition vers une mobilité durable et sécuritaire, la Ville devra accentuer les aménagements conviviaux pour les piétons. Or, les pratiques en accessibilité universelle doivent guider la conception d’espaces qui permettent des déplacements aisés et sécuritaires pour toutes et tous.</w:t>
      </w:r>
    </w:p>
    <w:p w:rsidR="009F1DCF" w:rsidRDefault="009F1DCF" w:rsidP="009F1DCF">
      <w:r>
        <w:t xml:space="preserve">On devra donc veiller à aménager des trottoirs suffisamment larges pour permettre les déplacements fluides, notamment lors de croisements entre les usagers de ces espaces. </w:t>
      </w:r>
      <w:r w:rsidRPr="00ED0A9E">
        <w:t>Une attention particulière devra également être portée à s'assurer que les intersections sont conçues pour permettre aux piétons de traverser les rues en toute sécurité, notamment en ce qui concerne les feux sonores.</w:t>
      </w:r>
    </w:p>
    <w:p w:rsidR="009F1DCF" w:rsidRDefault="009F1DCF" w:rsidP="009F1DCF">
      <w:r>
        <w:t>Par ailleurs, nous encourageons Longueuil à s’assurer que la façade des bâtiments demeure libre d’obstacles. Ainsi, les personnes aveugles et malvoyantes qui se déplacent à pied dans la ville pourront pleinement profiter de l’avantage d’un repère auquel elles ont souvent recours. Cet aspect revêt la plus grande importance dans des contextes de zonage à usage commercial, permettant à des tenanciers d’établissements de restauration et de bars de s’y installer.</w:t>
      </w:r>
    </w:p>
    <w:p w:rsidR="009F1DCF" w:rsidRDefault="009F1DCF" w:rsidP="009F1DCF">
      <w:pPr>
        <w:pStyle w:val="Titre1"/>
      </w:pPr>
      <w:r>
        <w:t>Des collaborations à consolider</w:t>
      </w:r>
    </w:p>
    <w:p w:rsidR="009F1DCF" w:rsidRDefault="009F1DCF" w:rsidP="009F1DCF">
      <w:r w:rsidRPr="004F1D95">
        <w:t xml:space="preserve">Les avis des trois </w:t>
      </w:r>
      <w:r>
        <w:t xml:space="preserve">panels </w:t>
      </w:r>
      <w:r w:rsidRPr="004F1D95">
        <w:t>consultés dans la présente démarche ont mis de l'avant la nécessité pour la Ville de tenir compte des expertises développées et de les respecter.</w:t>
      </w:r>
      <w:r>
        <w:t xml:space="preserve"> Nous nous inscrivons tout à fait dans cette ligne.</w:t>
      </w:r>
    </w:p>
    <w:p w:rsidR="009F1DCF" w:rsidRDefault="009F1DCF" w:rsidP="009F1DCF">
      <w:r>
        <w:t>La Ville de Longueuil devra donc veiller à engager la participation des organisations qui détiennent cette expertise. Cette implication doit être favorisée à l’étape de la conception des projets qui émaneront de la mise en place de la mobilité durable. De plus, cette expertise devra être mise à profit dans l’analyse détaillée des plans, notamment afin d’évaluer la pertinence d’installer des feux sonores. Ce faisant la Ville s’assurera de connaître les enjeux importants et de mettre en place des solutions pour les réduire, voire les éliminer. Faire fi de cette démarche engendrera la nécessité de devoir effectuer des travaux subséquemment pour les corriger, avec les coûts supplémentaires qui en découleront.</w:t>
      </w:r>
    </w:p>
    <w:p w:rsidR="009F1DCF" w:rsidRDefault="009F1DCF" w:rsidP="009F1DCF"/>
    <w:p w:rsidR="009F1DCF" w:rsidRDefault="009F1DCF" w:rsidP="009F1DCF">
      <w:pPr>
        <w:pStyle w:val="Titre2"/>
      </w:pPr>
      <w:r>
        <w:lastRenderedPageBreak/>
        <w:t>Une participation citoyenne facilitée</w:t>
      </w:r>
    </w:p>
    <w:p w:rsidR="009F1DCF" w:rsidRDefault="009F1DCF" w:rsidP="009F1DCF">
      <w:r>
        <w:t>Les avis des panels ont également identifié la participation des citoyens comme élément incontournable de la réussite de la transition vers une mobilité durable et sécuritaire. Ils devront donc pouvoir profiter de modalités, de mécanismes et de processus qui tiennent compte de leurs besoins.</w:t>
      </w:r>
    </w:p>
    <w:p w:rsidR="009F1DCF" w:rsidRDefault="009F1DCF" w:rsidP="009F1DCF">
      <w:r>
        <w:t>Pour les personnes aveugles et malvoyantes, la possibilité de consulter une documentation qui répond aux normes d’accessibilité numérique est fondamentale. Nous invitons donc fortement la Ville de Longueuil à s’assurer que les documents fournis aux citoyens tiennent compte des plus récentes normes internationales en matière d’accessibilité numérique.</w:t>
      </w:r>
    </w:p>
    <w:p w:rsidR="009F1DCF" w:rsidRDefault="009F1DCF" w:rsidP="009F1DCF">
      <w:r>
        <w:t>Par ailleurs, le choix des modalités et mécanismes de consultation doit aussi tenir compte des différentes réalités. Ainsi, les outils qui seront mis à la disposition des citoyens doivent également répondre aux meilleures normes et pratiques. C’est souvent là que le bât blesse, notamment lorsqu’on a recours à Internet ou lorsque l’on utilise des exercices qui impliquent l’usage de Post-it de différents couleurs, par exemple.</w:t>
      </w:r>
    </w:p>
    <w:p w:rsidR="009F1DCF" w:rsidRDefault="009F1DCF" w:rsidP="009F1DCF">
      <w:r>
        <w:t xml:space="preserve">D’autre part, le choix des lieux où les citoyens pourraient être conviés à se rendre pour participer, par exemple, à ces activités de </w:t>
      </w:r>
      <w:proofErr w:type="spellStart"/>
      <w:r>
        <w:t>cocréation</w:t>
      </w:r>
      <w:proofErr w:type="spellEnd"/>
      <w:r>
        <w:t xml:space="preserve"> devra, notamment, se baser sur leur performance en accessibilité universelle. Des services d’accompagnement, sur place, devraient également être prévus, entre autres, pour permettre aux personnes aveugles et malvoyantes de participer pleinement à ces démarches.</w:t>
      </w:r>
    </w:p>
    <w:p w:rsidR="009F1DCF" w:rsidRDefault="009F1DCF" w:rsidP="009F1DCF"/>
    <w:p w:rsidR="009F1DCF" w:rsidRDefault="009F1DCF" w:rsidP="009F1DCF">
      <w:pPr>
        <w:pStyle w:val="Titre1"/>
      </w:pPr>
      <w:r>
        <w:t>Conclusion</w:t>
      </w:r>
    </w:p>
    <w:p w:rsidR="009F1DCF" w:rsidRDefault="009F1DCF" w:rsidP="009F1DCF">
      <w:r>
        <w:t>La Ville de Longueuil souhaite s’engager dans un important chantier susceptible de transformer la manière dont les résidents se déplacent. En visant l’adoption, la mobilité durable, la Ville pourra contribuer à réduire l’impact des humains sur les changements climatiques.</w:t>
      </w:r>
    </w:p>
    <w:p w:rsidR="009F1DCF" w:rsidRPr="00895F3A" w:rsidRDefault="009F1DCF" w:rsidP="009F1DCF">
      <w:r>
        <w:t xml:space="preserve">Fait à souligner, Longueuil a aussi voulu favoriser une sécurité accrue de ses résidents, durant leurs déplacements. C’est là une orientation que nous saluons. Pour y parvenir, Longueuil aura d’importants défis à relever. Nous signalons ici notre intérêt à participer à ce virage. </w:t>
      </w:r>
      <w:r w:rsidRPr="004F1D95">
        <w:t xml:space="preserve">À terme, tous les </w:t>
      </w:r>
      <w:proofErr w:type="spellStart"/>
      <w:r w:rsidRPr="004F1D95">
        <w:t>Longueuillois</w:t>
      </w:r>
      <w:proofErr w:type="spellEnd"/>
      <w:r w:rsidRPr="004F1D95">
        <w:t xml:space="preserve"> et toutes les </w:t>
      </w:r>
      <w:proofErr w:type="spellStart"/>
      <w:r w:rsidRPr="004F1D95">
        <w:t>Longueuilloises</w:t>
      </w:r>
      <w:proofErr w:type="spellEnd"/>
      <w:r w:rsidRPr="004F1D95">
        <w:t xml:space="preserve"> pourront jouir d'un milieu de vie plus sain, en plus d'une sécurité accrue.</w:t>
      </w:r>
      <w:r>
        <w:t xml:space="preserve"> Assurons-nous que personne n’est laissé pour compte !</w:t>
      </w:r>
    </w:p>
    <w:p w:rsidR="000A6808" w:rsidRPr="009F1DCF" w:rsidRDefault="000A6808" w:rsidP="009F1DCF"/>
    <w:sectPr w:rsidR="000A6808" w:rsidRPr="009F1DCF" w:rsidSect="00CA7E69">
      <w:headerReference w:type="default" r:id="rId9"/>
      <w:footerReference w:type="default" r:id="rId10"/>
      <w:headerReference w:type="first" r:id="rId11"/>
      <w:footerReference w:type="first" r:id="rId12"/>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9A8" w:rsidRDefault="00B219A8" w:rsidP="00CA7E69">
      <w:r>
        <w:separator/>
      </w:r>
    </w:p>
  </w:endnote>
  <w:endnote w:type="continuationSeparator" w:id="0">
    <w:p w:rsidR="00B219A8" w:rsidRDefault="00B219A8" w:rsidP="00CA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459770"/>
      <w:docPartObj>
        <w:docPartGallery w:val="Page Numbers (Bottom of Page)"/>
        <w:docPartUnique/>
      </w:docPartObj>
    </w:sdtPr>
    <w:sdtEndPr/>
    <w:sdtContent>
      <w:p w:rsidR="009673D3" w:rsidRDefault="009673D3">
        <w:pPr>
          <w:pStyle w:val="Pieddepage"/>
          <w:jc w:val="right"/>
        </w:pPr>
        <w:r>
          <w:fldChar w:fldCharType="begin"/>
        </w:r>
        <w:r>
          <w:instrText>PAGE   \* MERGEFORMAT</w:instrText>
        </w:r>
        <w:r>
          <w:fldChar w:fldCharType="separate"/>
        </w:r>
        <w:r w:rsidR="00691E88" w:rsidRPr="00691E88">
          <w:rPr>
            <w:noProof/>
            <w:lang w:val="fr-FR"/>
          </w:rPr>
          <w:t>6</w:t>
        </w:r>
        <w:r>
          <w:fldChar w:fldCharType="end"/>
        </w:r>
      </w:p>
    </w:sdtContent>
  </w:sdt>
  <w:p w:rsidR="009673D3" w:rsidRDefault="009673D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431168"/>
      <w:docPartObj>
        <w:docPartGallery w:val="Page Numbers (Bottom of Page)"/>
        <w:docPartUnique/>
      </w:docPartObj>
    </w:sdtPr>
    <w:sdtEndPr/>
    <w:sdtContent>
      <w:p w:rsidR="009673D3" w:rsidRDefault="009673D3">
        <w:pPr>
          <w:pStyle w:val="Pieddepage"/>
          <w:jc w:val="right"/>
        </w:pPr>
        <w:r>
          <w:fldChar w:fldCharType="begin"/>
        </w:r>
        <w:r>
          <w:instrText>PAGE   \* MERGEFORMAT</w:instrText>
        </w:r>
        <w:r>
          <w:fldChar w:fldCharType="separate"/>
        </w:r>
        <w:r w:rsidR="00691E88" w:rsidRPr="00691E88">
          <w:rPr>
            <w:noProof/>
            <w:lang w:val="fr-FR"/>
          </w:rPr>
          <w:t>1</w:t>
        </w:r>
        <w:r>
          <w:fldChar w:fldCharType="end"/>
        </w:r>
      </w:p>
    </w:sdtContent>
  </w:sdt>
  <w:p w:rsidR="009673D3" w:rsidRDefault="009673D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9A8" w:rsidRDefault="00B219A8" w:rsidP="00CA7E69">
      <w:r>
        <w:separator/>
      </w:r>
    </w:p>
  </w:footnote>
  <w:footnote w:type="continuationSeparator" w:id="0">
    <w:p w:rsidR="00B219A8" w:rsidRDefault="00B219A8" w:rsidP="00CA7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D3" w:rsidRDefault="009673D3" w:rsidP="00CA7E69">
    <w:pPr>
      <w:pStyle w:val="En-tte"/>
      <w:rPr>
        <w:noProof/>
      </w:rPr>
    </w:pPr>
  </w:p>
  <w:p w:rsidR="009673D3" w:rsidRDefault="009673D3" w:rsidP="00020D53">
    <w:pPr>
      <w:pStyle w:val="En-tte"/>
      <w:ind w:left="3402"/>
    </w:pPr>
    <w:r>
      <w:rPr>
        <w:noProof/>
        <w:lang w:eastAsia="fr-CA"/>
      </w:rPr>
      <w:drawing>
        <wp:anchor distT="0" distB="0" distL="114300" distR="114300" simplePos="0" relativeHeight="251659264" behindDoc="0" locked="0" layoutInCell="1" hidden="0" allowOverlap="1" wp14:anchorId="3E2C0D2B" wp14:editId="3B01F2DA">
          <wp:simplePos x="0" y="0"/>
          <wp:positionH relativeFrom="margin">
            <wp:align>right</wp:align>
          </wp:positionH>
          <wp:positionV relativeFrom="paragraph">
            <wp:posOffset>4445</wp:posOffset>
          </wp:positionV>
          <wp:extent cx="1905000" cy="466725"/>
          <wp:effectExtent l="0" t="0" r="0" b="0"/>
          <wp:wrapSquare wrapText="bothSides"/>
          <wp:docPr id="5" name="image3.png" descr="\\diskstation1\4000 Communication\4300 Rayonnement du RAAMM\4320 outils de visibilité du RAAMM\4326 Logo et charte graphique\RGB\Horizontal-long-couleur-slogan.png"/>
          <wp:cNvGraphicFramePr/>
          <a:graphic xmlns:a="http://schemas.openxmlformats.org/drawingml/2006/main">
            <a:graphicData uri="http://schemas.openxmlformats.org/drawingml/2006/picture">
              <pic:pic xmlns:pic="http://schemas.openxmlformats.org/drawingml/2006/picture">
                <pic:nvPicPr>
                  <pic:cNvPr id="0" name="image3.png" descr="\\diskstation1\4000 Communication\4300 Rayonnement du RAAMM\4320 outils de visibilité du RAAMM\4326 Logo et charte graphique\RGB\Horizontal-long-couleur-slogan.png"/>
                  <pic:cNvPicPr preferRelativeResize="0"/>
                </pic:nvPicPr>
                <pic:blipFill rotWithShape="1">
                  <a:blip r:embed="rId1"/>
                  <a:srcRect b="24616"/>
                  <a:stretch/>
                </pic:blipFill>
                <pic:spPr bwMode="auto">
                  <a:xfrm>
                    <a:off x="0" y="0"/>
                    <a:ext cx="190500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673D3" w:rsidRDefault="009673D3" w:rsidP="00020D53">
    <w:pPr>
      <w:pStyle w:val="En-tte"/>
      <w:ind w:left="3402"/>
    </w:pPr>
  </w:p>
  <w:p w:rsidR="009673D3" w:rsidRDefault="009673D3" w:rsidP="00020D53">
    <w:pPr>
      <w:pStyle w:val="En-tte"/>
      <w:ind w:left="340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D3" w:rsidRDefault="009673D3">
    <w:pPr>
      <w:pStyle w:val="En-tte"/>
    </w:pPr>
    <w:r>
      <w:rPr>
        <w:noProof/>
        <w:lang w:eastAsia="fr-CA"/>
      </w:rPr>
      <w:drawing>
        <wp:anchor distT="0" distB="0" distL="114300" distR="114300" simplePos="0" relativeHeight="251661312" behindDoc="0" locked="0" layoutInCell="1" hidden="0" allowOverlap="1" wp14:anchorId="16DDB530" wp14:editId="527CB0A1">
          <wp:simplePos x="0" y="0"/>
          <wp:positionH relativeFrom="margin">
            <wp:align>right</wp:align>
          </wp:positionH>
          <wp:positionV relativeFrom="paragraph">
            <wp:posOffset>304800</wp:posOffset>
          </wp:positionV>
          <wp:extent cx="2865120" cy="703580"/>
          <wp:effectExtent l="0" t="0" r="0" b="0"/>
          <wp:wrapSquare wrapText="bothSides"/>
          <wp:docPr id="1" name="image3.png" descr="\\diskstation1\4000 Communication\4300 Rayonnement du RAAMM\4320 outils de visibilité du RAAMM\4326 Logo et charte graphique\RGB\Horizontal-long-couleur-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diskstation1\4000 Communication\4300 Rayonnement du RAAMM\4320 outils de visibilité du RAAMM\4326 Logo et charte graphique\RGB\Horizontal-long-couleur-slogan.png"/>
                  <pic:cNvPicPr preferRelativeResize="0"/>
                </pic:nvPicPr>
                <pic:blipFill rotWithShape="1">
                  <a:blip r:embed="rId1"/>
                  <a:srcRect b="24616"/>
                  <a:stretch/>
                </pic:blipFill>
                <pic:spPr bwMode="auto">
                  <a:xfrm>
                    <a:off x="0" y="0"/>
                    <a:ext cx="2865120" cy="703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BDF"/>
    <w:multiLevelType w:val="hybridMultilevel"/>
    <w:tmpl w:val="CACC9D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49319B9"/>
    <w:multiLevelType w:val="hybridMultilevel"/>
    <w:tmpl w:val="184A2C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D8D0BC7"/>
    <w:multiLevelType w:val="multilevel"/>
    <w:tmpl w:val="0194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C2318"/>
    <w:multiLevelType w:val="hybridMultilevel"/>
    <w:tmpl w:val="FE1899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64E6BE1"/>
    <w:multiLevelType w:val="hybridMultilevel"/>
    <w:tmpl w:val="D446FD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16C35E23"/>
    <w:multiLevelType w:val="hybridMultilevel"/>
    <w:tmpl w:val="7A603FA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F4D021B"/>
    <w:multiLevelType w:val="hybridMultilevel"/>
    <w:tmpl w:val="071C1F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20E647D1"/>
    <w:multiLevelType w:val="hybridMultilevel"/>
    <w:tmpl w:val="AB28BD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28B44418"/>
    <w:multiLevelType w:val="hybridMultilevel"/>
    <w:tmpl w:val="1204A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2B870659"/>
    <w:multiLevelType w:val="hybridMultilevel"/>
    <w:tmpl w:val="54B64A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2FB149BC"/>
    <w:multiLevelType w:val="hybridMultilevel"/>
    <w:tmpl w:val="DA6AD4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30F14DC4"/>
    <w:multiLevelType w:val="hybridMultilevel"/>
    <w:tmpl w:val="51547A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3339553A"/>
    <w:multiLevelType w:val="hybridMultilevel"/>
    <w:tmpl w:val="D0A034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33446669"/>
    <w:multiLevelType w:val="hybridMultilevel"/>
    <w:tmpl w:val="5380CA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335046A8"/>
    <w:multiLevelType w:val="hybridMultilevel"/>
    <w:tmpl w:val="B7888AC0"/>
    <w:lvl w:ilvl="0" w:tplc="51B061FE">
      <w:start w:val="3"/>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39F93B4A"/>
    <w:multiLevelType w:val="hybridMultilevel"/>
    <w:tmpl w:val="AE8A96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3AB858AA"/>
    <w:multiLevelType w:val="hybridMultilevel"/>
    <w:tmpl w:val="65389838"/>
    <w:lvl w:ilvl="0" w:tplc="0C0C0001">
      <w:start w:val="1"/>
      <w:numFmt w:val="bullet"/>
      <w:lvlText w:val=""/>
      <w:lvlJc w:val="left"/>
      <w:pPr>
        <w:ind w:left="792" w:hanging="360"/>
      </w:pPr>
      <w:rPr>
        <w:rFonts w:ascii="Symbol" w:hAnsi="Symbol" w:hint="default"/>
      </w:rPr>
    </w:lvl>
    <w:lvl w:ilvl="1" w:tplc="0C0C0003" w:tentative="1">
      <w:start w:val="1"/>
      <w:numFmt w:val="bullet"/>
      <w:lvlText w:val="o"/>
      <w:lvlJc w:val="left"/>
      <w:pPr>
        <w:ind w:left="1512" w:hanging="360"/>
      </w:pPr>
      <w:rPr>
        <w:rFonts w:ascii="Courier New" w:hAnsi="Courier New" w:cs="Courier New" w:hint="default"/>
      </w:rPr>
    </w:lvl>
    <w:lvl w:ilvl="2" w:tplc="0C0C0005" w:tentative="1">
      <w:start w:val="1"/>
      <w:numFmt w:val="bullet"/>
      <w:lvlText w:val=""/>
      <w:lvlJc w:val="left"/>
      <w:pPr>
        <w:ind w:left="2232" w:hanging="360"/>
      </w:pPr>
      <w:rPr>
        <w:rFonts w:ascii="Wingdings" w:hAnsi="Wingdings" w:hint="default"/>
      </w:rPr>
    </w:lvl>
    <w:lvl w:ilvl="3" w:tplc="0C0C0001" w:tentative="1">
      <w:start w:val="1"/>
      <w:numFmt w:val="bullet"/>
      <w:lvlText w:val=""/>
      <w:lvlJc w:val="left"/>
      <w:pPr>
        <w:ind w:left="2952" w:hanging="360"/>
      </w:pPr>
      <w:rPr>
        <w:rFonts w:ascii="Symbol" w:hAnsi="Symbol" w:hint="default"/>
      </w:rPr>
    </w:lvl>
    <w:lvl w:ilvl="4" w:tplc="0C0C0003" w:tentative="1">
      <w:start w:val="1"/>
      <w:numFmt w:val="bullet"/>
      <w:lvlText w:val="o"/>
      <w:lvlJc w:val="left"/>
      <w:pPr>
        <w:ind w:left="3672" w:hanging="360"/>
      </w:pPr>
      <w:rPr>
        <w:rFonts w:ascii="Courier New" w:hAnsi="Courier New" w:cs="Courier New" w:hint="default"/>
      </w:rPr>
    </w:lvl>
    <w:lvl w:ilvl="5" w:tplc="0C0C0005" w:tentative="1">
      <w:start w:val="1"/>
      <w:numFmt w:val="bullet"/>
      <w:lvlText w:val=""/>
      <w:lvlJc w:val="left"/>
      <w:pPr>
        <w:ind w:left="4392" w:hanging="360"/>
      </w:pPr>
      <w:rPr>
        <w:rFonts w:ascii="Wingdings" w:hAnsi="Wingdings" w:hint="default"/>
      </w:rPr>
    </w:lvl>
    <w:lvl w:ilvl="6" w:tplc="0C0C0001" w:tentative="1">
      <w:start w:val="1"/>
      <w:numFmt w:val="bullet"/>
      <w:lvlText w:val=""/>
      <w:lvlJc w:val="left"/>
      <w:pPr>
        <w:ind w:left="5112" w:hanging="360"/>
      </w:pPr>
      <w:rPr>
        <w:rFonts w:ascii="Symbol" w:hAnsi="Symbol" w:hint="default"/>
      </w:rPr>
    </w:lvl>
    <w:lvl w:ilvl="7" w:tplc="0C0C0003" w:tentative="1">
      <w:start w:val="1"/>
      <w:numFmt w:val="bullet"/>
      <w:lvlText w:val="o"/>
      <w:lvlJc w:val="left"/>
      <w:pPr>
        <w:ind w:left="5832" w:hanging="360"/>
      </w:pPr>
      <w:rPr>
        <w:rFonts w:ascii="Courier New" w:hAnsi="Courier New" w:cs="Courier New" w:hint="default"/>
      </w:rPr>
    </w:lvl>
    <w:lvl w:ilvl="8" w:tplc="0C0C0005" w:tentative="1">
      <w:start w:val="1"/>
      <w:numFmt w:val="bullet"/>
      <w:lvlText w:val=""/>
      <w:lvlJc w:val="left"/>
      <w:pPr>
        <w:ind w:left="6552" w:hanging="360"/>
      </w:pPr>
      <w:rPr>
        <w:rFonts w:ascii="Wingdings" w:hAnsi="Wingdings" w:hint="default"/>
      </w:rPr>
    </w:lvl>
  </w:abstractNum>
  <w:abstractNum w:abstractNumId="17">
    <w:nsid w:val="484B2FB7"/>
    <w:multiLevelType w:val="hybridMultilevel"/>
    <w:tmpl w:val="6C2438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49446BAF"/>
    <w:multiLevelType w:val="hybridMultilevel"/>
    <w:tmpl w:val="ED0EEBD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nsid w:val="502558D6"/>
    <w:multiLevelType w:val="hybridMultilevel"/>
    <w:tmpl w:val="815E994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nsid w:val="512E0BF2"/>
    <w:multiLevelType w:val="hybridMultilevel"/>
    <w:tmpl w:val="C6961B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nsid w:val="518F2769"/>
    <w:multiLevelType w:val="hybridMultilevel"/>
    <w:tmpl w:val="4FACCA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nsid w:val="5C8A6787"/>
    <w:multiLevelType w:val="hybridMultilevel"/>
    <w:tmpl w:val="0C48794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6BF57220"/>
    <w:multiLevelType w:val="hybridMultilevel"/>
    <w:tmpl w:val="11E25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nsid w:val="6E562453"/>
    <w:multiLevelType w:val="hybridMultilevel"/>
    <w:tmpl w:val="58D4274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nsid w:val="74617417"/>
    <w:multiLevelType w:val="hybridMultilevel"/>
    <w:tmpl w:val="E1A890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nsid w:val="7739173D"/>
    <w:multiLevelType w:val="multilevel"/>
    <w:tmpl w:val="8A54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BF7EE1"/>
    <w:multiLevelType w:val="hybridMultilevel"/>
    <w:tmpl w:val="C01EB8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nsid w:val="7BA2595E"/>
    <w:multiLevelType w:val="hybridMultilevel"/>
    <w:tmpl w:val="5ADAB2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nsid w:val="7D3C48B3"/>
    <w:multiLevelType w:val="hybridMultilevel"/>
    <w:tmpl w:val="8DCE995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nsid w:val="7E490274"/>
    <w:multiLevelType w:val="hybridMultilevel"/>
    <w:tmpl w:val="D0B0B0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3"/>
  </w:num>
  <w:num w:numId="4">
    <w:abstractNumId w:val="8"/>
  </w:num>
  <w:num w:numId="5">
    <w:abstractNumId w:val="20"/>
  </w:num>
  <w:num w:numId="6">
    <w:abstractNumId w:val="19"/>
  </w:num>
  <w:num w:numId="7">
    <w:abstractNumId w:val="28"/>
  </w:num>
  <w:num w:numId="8">
    <w:abstractNumId w:val="0"/>
  </w:num>
  <w:num w:numId="9">
    <w:abstractNumId w:val="24"/>
  </w:num>
  <w:num w:numId="10">
    <w:abstractNumId w:val="7"/>
  </w:num>
  <w:num w:numId="11">
    <w:abstractNumId w:val="22"/>
  </w:num>
  <w:num w:numId="12">
    <w:abstractNumId w:val="29"/>
  </w:num>
  <w:num w:numId="13">
    <w:abstractNumId w:val="5"/>
  </w:num>
  <w:num w:numId="14">
    <w:abstractNumId w:val="12"/>
  </w:num>
  <w:num w:numId="15">
    <w:abstractNumId w:val="16"/>
  </w:num>
  <w:num w:numId="16">
    <w:abstractNumId w:val="9"/>
  </w:num>
  <w:num w:numId="17">
    <w:abstractNumId w:val="25"/>
  </w:num>
  <w:num w:numId="18">
    <w:abstractNumId w:val="13"/>
  </w:num>
  <w:num w:numId="19">
    <w:abstractNumId w:val="4"/>
  </w:num>
  <w:num w:numId="20">
    <w:abstractNumId w:val="6"/>
  </w:num>
  <w:num w:numId="21">
    <w:abstractNumId w:val="17"/>
  </w:num>
  <w:num w:numId="22">
    <w:abstractNumId w:val="26"/>
  </w:num>
  <w:num w:numId="23">
    <w:abstractNumId w:val="2"/>
  </w:num>
  <w:num w:numId="24">
    <w:abstractNumId w:val="1"/>
  </w:num>
  <w:num w:numId="25">
    <w:abstractNumId w:val="14"/>
  </w:num>
  <w:num w:numId="26">
    <w:abstractNumId w:val="30"/>
  </w:num>
  <w:num w:numId="27">
    <w:abstractNumId w:val="27"/>
  </w:num>
  <w:num w:numId="28">
    <w:abstractNumId w:val="15"/>
  </w:num>
  <w:num w:numId="29">
    <w:abstractNumId w:val="11"/>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69"/>
    <w:rsid w:val="000125B1"/>
    <w:rsid w:val="00020D53"/>
    <w:rsid w:val="0003077E"/>
    <w:rsid w:val="000321F0"/>
    <w:rsid w:val="00034A39"/>
    <w:rsid w:val="00045926"/>
    <w:rsid w:val="000479C5"/>
    <w:rsid w:val="00052E7A"/>
    <w:rsid w:val="00063EC8"/>
    <w:rsid w:val="0006467A"/>
    <w:rsid w:val="00064A5A"/>
    <w:rsid w:val="0006673A"/>
    <w:rsid w:val="00071C91"/>
    <w:rsid w:val="0008035B"/>
    <w:rsid w:val="00085F5A"/>
    <w:rsid w:val="0009665D"/>
    <w:rsid w:val="000A6808"/>
    <w:rsid w:val="000A7C5E"/>
    <w:rsid w:val="000C2283"/>
    <w:rsid w:val="000D3331"/>
    <w:rsid w:val="000D4155"/>
    <w:rsid w:val="000E688F"/>
    <w:rsid w:val="000F5C4B"/>
    <w:rsid w:val="00101582"/>
    <w:rsid w:val="0010485B"/>
    <w:rsid w:val="00104CB5"/>
    <w:rsid w:val="001069D8"/>
    <w:rsid w:val="0013116C"/>
    <w:rsid w:val="00132952"/>
    <w:rsid w:val="00134915"/>
    <w:rsid w:val="00134B7D"/>
    <w:rsid w:val="00135465"/>
    <w:rsid w:val="00135B86"/>
    <w:rsid w:val="001366EE"/>
    <w:rsid w:val="001504AF"/>
    <w:rsid w:val="00154377"/>
    <w:rsid w:val="001555FA"/>
    <w:rsid w:val="00157BB6"/>
    <w:rsid w:val="00162898"/>
    <w:rsid w:val="00183454"/>
    <w:rsid w:val="001928AE"/>
    <w:rsid w:val="001A7903"/>
    <w:rsid w:val="001A79EB"/>
    <w:rsid w:val="001D083C"/>
    <w:rsid w:val="001D33FB"/>
    <w:rsid w:val="001E58F7"/>
    <w:rsid w:val="001F306A"/>
    <w:rsid w:val="002020CA"/>
    <w:rsid w:val="002227FB"/>
    <w:rsid w:val="00232055"/>
    <w:rsid w:val="002372CC"/>
    <w:rsid w:val="00250F7B"/>
    <w:rsid w:val="00251E96"/>
    <w:rsid w:val="00256756"/>
    <w:rsid w:val="00266DA5"/>
    <w:rsid w:val="00272A21"/>
    <w:rsid w:val="0028167D"/>
    <w:rsid w:val="0028289C"/>
    <w:rsid w:val="00292BAC"/>
    <w:rsid w:val="002B3A7C"/>
    <w:rsid w:val="002B507B"/>
    <w:rsid w:val="002B5EE4"/>
    <w:rsid w:val="002B74CA"/>
    <w:rsid w:val="002C29E9"/>
    <w:rsid w:val="00300D36"/>
    <w:rsid w:val="00301839"/>
    <w:rsid w:val="0031728D"/>
    <w:rsid w:val="003519B9"/>
    <w:rsid w:val="00362549"/>
    <w:rsid w:val="0036309F"/>
    <w:rsid w:val="00371A3E"/>
    <w:rsid w:val="00381167"/>
    <w:rsid w:val="0039774D"/>
    <w:rsid w:val="003A3606"/>
    <w:rsid w:val="003A759F"/>
    <w:rsid w:val="003C7BE1"/>
    <w:rsid w:val="003E12A1"/>
    <w:rsid w:val="003F5122"/>
    <w:rsid w:val="00413C65"/>
    <w:rsid w:val="0041696F"/>
    <w:rsid w:val="00420352"/>
    <w:rsid w:val="00435503"/>
    <w:rsid w:val="0045499E"/>
    <w:rsid w:val="004722C6"/>
    <w:rsid w:val="00472405"/>
    <w:rsid w:val="004835C4"/>
    <w:rsid w:val="00490344"/>
    <w:rsid w:val="00495931"/>
    <w:rsid w:val="004A4D5D"/>
    <w:rsid w:val="004A7DA4"/>
    <w:rsid w:val="004C4470"/>
    <w:rsid w:val="004C7C64"/>
    <w:rsid w:val="004E1C2C"/>
    <w:rsid w:val="004E38AB"/>
    <w:rsid w:val="004E3B2F"/>
    <w:rsid w:val="004E6CBB"/>
    <w:rsid w:val="004F0031"/>
    <w:rsid w:val="004F302F"/>
    <w:rsid w:val="00500E27"/>
    <w:rsid w:val="00533E5F"/>
    <w:rsid w:val="0054122C"/>
    <w:rsid w:val="005507A6"/>
    <w:rsid w:val="00550E7E"/>
    <w:rsid w:val="00560218"/>
    <w:rsid w:val="0056799B"/>
    <w:rsid w:val="00567C12"/>
    <w:rsid w:val="005774AE"/>
    <w:rsid w:val="00585E73"/>
    <w:rsid w:val="005941D7"/>
    <w:rsid w:val="00594704"/>
    <w:rsid w:val="005959F5"/>
    <w:rsid w:val="00596877"/>
    <w:rsid w:val="005A0D35"/>
    <w:rsid w:val="005A3613"/>
    <w:rsid w:val="005A36F0"/>
    <w:rsid w:val="005D6937"/>
    <w:rsid w:val="005F6818"/>
    <w:rsid w:val="005F757A"/>
    <w:rsid w:val="00621D9A"/>
    <w:rsid w:val="006371CF"/>
    <w:rsid w:val="00646B98"/>
    <w:rsid w:val="00653790"/>
    <w:rsid w:val="006543BB"/>
    <w:rsid w:val="0068124C"/>
    <w:rsid w:val="0068240F"/>
    <w:rsid w:val="00691E88"/>
    <w:rsid w:val="00693FE2"/>
    <w:rsid w:val="00696692"/>
    <w:rsid w:val="006A5364"/>
    <w:rsid w:val="006C4102"/>
    <w:rsid w:val="006C5F5C"/>
    <w:rsid w:val="006D6D70"/>
    <w:rsid w:val="006F26B5"/>
    <w:rsid w:val="006F285E"/>
    <w:rsid w:val="00707A96"/>
    <w:rsid w:val="00722A47"/>
    <w:rsid w:val="00726E5D"/>
    <w:rsid w:val="00730AD8"/>
    <w:rsid w:val="00733F95"/>
    <w:rsid w:val="00745FFB"/>
    <w:rsid w:val="00761139"/>
    <w:rsid w:val="00765690"/>
    <w:rsid w:val="00766F2F"/>
    <w:rsid w:val="007709A3"/>
    <w:rsid w:val="007721F2"/>
    <w:rsid w:val="00773F8B"/>
    <w:rsid w:val="00777654"/>
    <w:rsid w:val="00786CAE"/>
    <w:rsid w:val="0079375C"/>
    <w:rsid w:val="00794E8B"/>
    <w:rsid w:val="007A7D20"/>
    <w:rsid w:val="007B4F7C"/>
    <w:rsid w:val="007B5A4B"/>
    <w:rsid w:val="007B6FBE"/>
    <w:rsid w:val="007E0075"/>
    <w:rsid w:val="007E5C7D"/>
    <w:rsid w:val="0080052E"/>
    <w:rsid w:val="00824E69"/>
    <w:rsid w:val="00835F71"/>
    <w:rsid w:val="008422FC"/>
    <w:rsid w:val="0084461E"/>
    <w:rsid w:val="00846626"/>
    <w:rsid w:val="00855921"/>
    <w:rsid w:val="0086611D"/>
    <w:rsid w:val="00880085"/>
    <w:rsid w:val="00886461"/>
    <w:rsid w:val="008A2506"/>
    <w:rsid w:val="008A6B79"/>
    <w:rsid w:val="008B4E7F"/>
    <w:rsid w:val="008B6069"/>
    <w:rsid w:val="008C302C"/>
    <w:rsid w:val="008C38F5"/>
    <w:rsid w:val="008D6F5C"/>
    <w:rsid w:val="008D7482"/>
    <w:rsid w:val="00901D01"/>
    <w:rsid w:val="00903BA4"/>
    <w:rsid w:val="00922BDF"/>
    <w:rsid w:val="00927463"/>
    <w:rsid w:val="00930FBB"/>
    <w:rsid w:val="0093252E"/>
    <w:rsid w:val="00933170"/>
    <w:rsid w:val="009415A7"/>
    <w:rsid w:val="009673D3"/>
    <w:rsid w:val="009747D6"/>
    <w:rsid w:val="009755EC"/>
    <w:rsid w:val="009924CD"/>
    <w:rsid w:val="00993883"/>
    <w:rsid w:val="009A6FC7"/>
    <w:rsid w:val="009B7418"/>
    <w:rsid w:val="009C4289"/>
    <w:rsid w:val="009F0536"/>
    <w:rsid w:val="009F1DCF"/>
    <w:rsid w:val="009F6C5D"/>
    <w:rsid w:val="00A07A7A"/>
    <w:rsid w:val="00A1278C"/>
    <w:rsid w:val="00A16CFB"/>
    <w:rsid w:val="00A31A1C"/>
    <w:rsid w:val="00A51D98"/>
    <w:rsid w:val="00A6141A"/>
    <w:rsid w:val="00A64257"/>
    <w:rsid w:val="00A71A7C"/>
    <w:rsid w:val="00A72A07"/>
    <w:rsid w:val="00A77F95"/>
    <w:rsid w:val="00A80BD6"/>
    <w:rsid w:val="00A87EDA"/>
    <w:rsid w:val="00A9263C"/>
    <w:rsid w:val="00AA6B5C"/>
    <w:rsid w:val="00AA7051"/>
    <w:rsid w:val="00AB124F"/>
    <w:rsid w:val="00AC30AB"/>
    <w:rsid w:val="00AC7B46"/>
    <w:rsid w:val="00AE1F17"/>
    <w:rsid w:val="00AF7488"/>
    <w:rsid w:val="00B050E0"/>
    <w:rsid w:val="00B058D0"/>
    <w:rsid w:val="00B077E6"/>
    <w:rsid w:val="00B152FD"/>
    <w:rsid w:val="00B165E6"/>
    <w:rsid w:val="00B219A8"/>
    <w:rsid w:val="00B24CD9"/>
    <w:rsid w:val="00B27E70"/>
    <w:rsid w:val="00B373E1"/>
    <w:rsid w:val="00B43773"/>
    <w:rsid w:val="00B46FA6"/>
    <w:rsid w:val="00B56056"/>
    <w:rsid w:val="00B56230"/>
    <w:rsid w:val="00B56D4A"/>
    <w:rsid w:val="00B66ABA"/>
    <w:rsid w:val="00B74315"/>
    <w:rsid w:val="00B744AA"/>
    <w:rsid w:val="00B863AC"/>
    <w:rsid w:val="00BC6BBF"/>
    <w:rsid w:val="00BD062F"/>
    <w:rsid w:val="00BE487B"/>
    <w:rsid w:val="00BF2840"/>
    <w:rsid w:val="00BF350A"/>
    <w:rsid w:val="00BF5397"/>
    <w:rsid w:val="00C006EE"/>
    <w:rsid w:val="00C10263"/>
    <w:rsid w:val="00C150F0"/>
    <w:rsid w:val="00C203BC"/>
    <w:rsid w:val="00C22860"/>
    <w:rsid w:val="00C310C7"/>
    <w:rsid w:val="00C350E8"/>
    <w:rsid w:val="00C439C5"/>
    <w:rsid w:val="00C64031"/>
    <w:rsid w:val="00C67D29"/>
    <w:rsid w:val="00C735D9"/>
    <w:rsid w:val="00C74179"/>
    <w:rsid w:val="00C75598"/>
    <w:rsid w:val="00C84D0F"/>
    <w:rsid w:val="00C90BBB"/>
    <w:rsid w:val="00CA19B7"/>
    <w:rsid w:val="00CA7E69"/>
    <w:rsid w:val="00CC27A2"/>
    <w:rsid w:val="00CC76ED"/>
    <w:rsid w:val="00CD7486"/>
    <w:rsid w:val="00CE2B87"/>
    <w:rsid w:val="00CF09B6"/>
    <w:rsid w:val="00CF2148"/>
    <w:rsid w:val="00CF2898"/>
    <w:rsid w:val="00CF2ACA"/>
    <w:rsid w:val="00CF7A1F"/>
    <w:rsid w:val="00D124A3"/>
    <w:rsid w:val="00D13E41"/>
    <w:rsid w:val="00D14176"/>
    <w:rsid w:val="00D47E52"/>
    <w:rsid w:val="00D5108A"/>
    <w:rsid w:val="00D52DF6"/>
    <w:rsid w:val="00D6055E"/>
    <w:rsid w:val="00D65ACE"/>
    <w:rsid w:val="00D66940"/>
    <w:rsid w:val="00D67713"/>
    <w:rsid w:val="00D7005E"/>
    <w:rsid w:val="00D7317E"/>
    <w:rsid w:val="00D769F7"/>
    <w:rsid w:val="00D83A15"/>
    <w:rsid w:val="00D85F73"/>
    <w:rsid w:val="00D908F7"/>
    <w:rsid w:val="00D91BA5"/>
    <w:rsid w:val="00DA79D9"/>
    <w:rsid w:val="00DB1F9F"/>
    <w:rsid w:val="00DB56F5"/>
    <w:rsid w:val="00DC1410"/>
    <w:rsid w:val="00DC162A"/>
    <w:rsid w:val="00DD40A1"/>
    <w:rsid w:val="00DF1C30"/>
    <w:rsid w:val="00DF4D45"/>
    <w:rsid w:val="00E22E3F"/>
    <w:rsid w:val="00E31B8C"/>
    <w:rsid w:val="00E405BB"/>
    <w:rsid w:val="00E47D38"/>
    <w:rsid w:val="00E55347"/>
    <w:rsid w:val="00E71228"/>
    <w:rsid w:val="00E74BC5"/>
    <w:rsid w:val="00E82A9B"/>
    <w:rsid w:val="00E83983"/>
    <w:rsid w:val="00E84B81"/>
    <w:rsid w:val="00E936D5"/>
    <w:rsid w:val="00E9677F"/>
    <w:rsid w:val="00EB3F35"/>
    <w:rsid w:val="00EB4E61"/>
    <w:rsid w:val="00EB7D57"/>
    <w:rsid w:val="00EC1428"/>
    <w:rsid w:val="00EC2FC7"/>
    <w:rsid w:val="00EF6C89"/>
    <w:rsid w:val="00F02126"/>
    <w:rsid w:val="00F06680"/>
    <w:rsid w:val="00F10701"/>
    <w:rsid w:val="00F12BA7"/>
    <w:rsid w:val="00F21790"/>
    <w:rsid w:val="00F25B60"/>
    <w:rsid w:val="00F430D0"/>
    <w:rsid w:val="00F43BEA"/>
    <w:rsid w:val="00F57716"/>
    <w:rsid w:val="00F83583"/>
    <w:rsid w:val="00FA5D12"/>
    <w:rsid w:val="00FB72A7"/>
    <w:rsid w:val="00FC7FA1"/>
    <w:rsid w:val="00FE0E4C"/>
    <w:rsid w:val="00FE327B"/>
    <w:rsid w:val="00FE353B"/>
    <w:rsid w:val="00FE649A"/>
    <w:rsid w:val="00FF5B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69"/>
    <w:pPr>
      <w:spacing w:line="276" w:lineRule="auto"/>
    </w:pPr>
    <w:rPr>
      <w:rFonts w:ascii="Arial" w:hAnsi="Arial" w:cs="Arial"/>
      <w:sz w:val="24"/>
      <w:szCs w:val="24"/>
    </w:rPr>
  </w:style>
  <w:style w:type="paragraph" w:styleId="Titre1">
    <w:name w:val="heading 1"/>
    <w:basedOn w:val="Normal"/>
    <w:next w:val="Normal"/>
    <w:link w:val="Titre1Car"/>
    <w:uiPriority w:val="9"/>
    <w:qFormat/>
    <w:rsid w:val="00085F5A"/>
    <w:pPr>
      <w:keepNext/>
      <w:keepLines/>
      <w:spacing w:before="240" w:after="240"/>
      <w:outlineLvl w:val="0"/>
    </w:pPr>
    <w:rPr>
      <w:rFonts w:eastAsiaTheme="majorEastAsia"/>
      <w:b/>
      <w:color w:val="2F5496" w:themeColor="accent1" w:themeShade="BF"/>
      <w:sz w:val="40"/>
      <w:szCs w:val="40"/>
    </w:rPr>
  </w:style>
  <w:style w:type="paragraph" w:styleId="Titre2">
    <w:name w:val="heading 2"/>
    <w:basedOn w:val="Normal"/>
    <w:next w:val="Normal"/>
    <w:link w:val="Titre2Car"/>
    <w:uiPriority w:val="9"/>
    <w:unhideWhenUsed/>
    <w:qFormat/>
    <w:rsid w:val="00A6141A"/>
    <w:pPr>
      <w:keepNext/>
      <w:keepLines/>
      <w:spacing w:before="40" w:after="240"/>
      <w:outlineLvl w:val="1"/>
    </w:pPr>
    <w:rPr>
      <w:rFonts w:eastAsiaTheme="majorEastAsia"/>
      <w:color w:val="2F5496" w:themeColor="accent1" w:themeShade="BF"/>
      <w:sz w:val="32"/>
      <w:szCs w:val="32"/>
    </w:rPr>
  </w:style>
  <w:style w:type="paragraph" w:styleId="Titre3">
    <w:name w:val="heading 3"/>
    <w:basedOn w:val="Normal"/>
    <w:next w:val="Normal"/>
    <w:link w:val="Titre3Car"/>
    <w:uiPriority w:val="9"/>
    <w:unhideWhenUsed/>
    <w:qFormat/>
    <w:rsid w:val="005A3613"/>
    <w:p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A7E69"/>
    <w:pPr>
      <w:spacing w:after="0" w:line="240" w:lineRule="auto"/>
      <w:contextualSpacing/>
    </w:pPr>
    <w:rPr>
      <w:rFonts w:eastAsiaTheme="majorEastAsia" w:cstheme="majorBidi"/>
      <w:b/>
      <w:color w:val="002060"/>
      <w:spacing w:val="-10"/>
      <w:kern w:val="28"/>
      <w:sz w:val="72"/>
      <w:szCs w:val="56"/>
    </w:rPr>
  </w:style>
  <w:style w:type="character" w:customStyle="1" w:styleId="TitreCar">
    <w:name w:val="Titre Car"/>
    <w:basedOn w:val="Policepardfaut"/>
    <w:link w:val="Titre"/>
    <w:uiPriority w:val="10"/>
    <w:rsid w:val="00CA7E69"/>
    <w:rPr>
      <w:rFonts w:eastAsiaTheme="majorEastAsia" w:cstheme="majorBidi"/>
      <w:b/>
      <w:color w:val="002060"/>
      <w:spacing w:val="-10"/>
      <w:kern w:val="28"/>
      <w:sz w:val="72"/>
      <w:szCs w:val="56"/>
    </w:rPr>
  </w:style>
  <w:style w:type="paragraph" w:styleId="En-tte">
    <w:name w:val="header"/>
    <w:basedOn w:val="Normal"/>
    <w:link w:val="En-tteCar"/>
    <w:uiPriority w:val="99"/>
    <w:unhideWhenUsed/>
    <w:rsid w:val="00CA7E69"/>
    <w:pPr>
      <w:tabs>
        <w:tab w:val="center" w:pos="4703"/>
        <w:tab w:val="right" w:pos="9406"/>
      </w:tabs>
      <w:spacing w:after="0" w:line="240" w:lineRule="auto"/>
    </w:pPr>
  </w:style>
  <w:style w:type="character" w:customStyle="1" w:styleId="En-tteCar">
    <w:name w:val="En-tête Car"/>
    <w:basedOn w:val="Policepardfaut"/>
    <w:link w:val="En-tte"/>
    <w:uiPriority w:val="99"/>
    <w:rsid w:val="00CA7E69"/>
  </w:style>
  <w:style w:type="paragraph" w:styleId="Pieddepage">
    <w:name w:val="footer"/>
    <w:basedOn w:val="Normal"/>
    <w:link w:val="PieddepageCar"/>
    <w:uiPriority w:val="99"/>
    <w:unhideWhenUsed/>
    <w:rsid w:val="00CA7E6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A7E69"/>
  </w:style>
  <w:style w:type="character" w:customStyle="1" w:styleId="Titre1Car">
    <w:name w:val="Titre 1 Car"/>
    <w:basedOn w:val="Policepardfaut"/>
    <w:link w:val="Titre1"/>
    <w:uiPriority w:val="9"/>
    <w:rsid w:val="00085F5A"/>
    <w:rPr>
      <w:rFonts w:ascii="Arial" w:eastAsiaTheme="majorEastAsia" w:hAnsi="Arial" w:cs="Arial"/>
      <w:b/>
      <w:color w:val="2F5496" w:themeColor="accent1" w:themeShade="BF"/>
      <w:sz w:val="40"/>
      <w:szCs w:val="40"/>
    </w:rPr>
  </w:style>
  <w:style w:type="character" w:customStyle="1" w:styleId="Titre2Car">
    <w:name w:val="Titre 2 Car"/>
    <w:basedOn w:val="Policepardfaut"/>
    <w:link w:val="Titre2"/>
    <w:uiPriority w:val="9"/>
    <w:rsid w:val="00A6141A"/>
    <w:rPr>
      <w:rFonts w:ascii="Arial" w:eastAsiaTheme="majorEastAsia" w:hAnsi="Arial" w:cs="Arial"/>
      <w:color w:val="2F5496" w:themeColor="accent1" w:themeShade="BF"/>
      <w:sz w:val="32"/>
      <w:szCs w:val="32"/>
    </w:rPr>
  </w:style>
  <w:style w:type="table" w:styleId="Grilledutableau">
    <w:name w:val="Table Grid"/>
    <w:basedOn w:val="TableauNormal"/>
    <w:uiPriority w:val="39"/>
    <w:rsid w:val="00CA7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57B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7BB6"/>
    <w:rPr>
      <w:rFonts w:ascii="Segoe UI" w:hAnsi="Segoe UI" w:cs="Segoe UI"/>
      <w:sz w:val="18"/>
      <w:szCs w:val="18"/>
    </w:rPr>
  </w:style>
  <w:style w:type="paragraph" w:styleId="Paragraphedeliste">
    <w:name w:val="List Paragraph"/>
    <w:basedOn w:val="Normal"/>
    <w:uiPriority w:val="34"/>
    <w:qFormat/>
    <w:rsid w:val="008B6069"/>
    <w:pPr>
      <w:ind w:left="720"/>
      <w:contextualSpacing/>
    </w:pPr>
  </w:style>
  <w:style w:type="character" w:styleId="Lienhypertexte">
    <w:name w:val="Hyperlink"/>
    <w:basedOn w:val="Policepardfaut"/>
    <w:uiPriority w:val="99"/>
    <w:unhideWhenUsed/>
    <w:rsid w:val="00162898"/>
    <w:rPr>
      <w:color w:val="0563C1" w:themeColor="hyperlink"/>
      <w:u w:val="single"/>
    </w:rPr>
  </w:style>
  <w:style w:type="character" w:customStyle="1" w:styleId="UnresolvedMention">
    <w:name w:val="Unresolved Mention"/>
    <w:basedOn w:val="Policepardfaut"/>
    <w:uiPriority w:val="99"/>
    <w:semiHidden/>
    <w:unhideWhenUsed/>
    <w:rsid w:val="00162898"/>
    <w:rPr>
      <w:color w:val="605E5C"/>
      <w:shd w:val="clear" w:color="auto" w:fill="E1DFDD"/>
    </w:rPr>
  </w:style>
  <w:style w:type="character" w:customStyle="1" w:styleId="Titre3Car">
    <w:name w:val="Titre 3 Car"/>
    <w:basedOn w:val="Policepardfaut"/>
    <w:link w:val="Titre3"/>
    <w:uiPriority w:val="9"/>
    <w:rsid w:val="005A3613"/>
    <w:rPr>
      <w:rFonts w:ascii="Arial" w:hAnsi="Arial" w:cs="Arial"/>
      <w:b/>
      <w:sz w:val="24"/>
      <w:szCs w:val="24"/>
    </w:rPr>
  </w:style>
  <w:style w:type="character" w:styleId="lev">
    <w:name w:val="Strong"/>
    <w:basedOn w:val="Policepardfaut"/>
    <w:uiPriority w:val="22"/>
    <w:qFormat/>
    <w:rsid w:val="00EC2FC7"/>
    <w:rPr>
      <w:b/>
      <w:bCs/>
    </w:rPr>
  </w:style>
  <w:style w:type="paragraph" w:styleId="NormalWeb">
    <w:name w:val="Normal (Web)"/>
    <w:basedOn w:val="Normal"/>
    <w:uiPriority w:val="99"/>
    <w:unhideWhenUsed/>
    <w:rsid w:val="00EC2FC7"/>
    <w:pPr>
      <w:spacing w:before="100" w:beforeAutospacing="1" w:after="100" w:afterAutospacing="1" w:line="240" w:lineRule="auto"/>
    </w:pPr>
    <w:rPr>
      <w:rFonts w:ascii="Times New Roman" w:eastAsia="Times New Roman" w:hAnsi="Times New Roman" w:cs="Times New Roman"/>
      <w:lang w:eastAsia="fr-CA"/>
    </w:rPr>
  </w:style>
  <w:style w:type="character" w:styleId="Lienhypertextesuivivisit">
    <w:name w:val="FollowedHyperlink"/>
    <w:basedOn w:val="Policepardfaut"/>
    <w:uiPriority w:val="99"/>
    <w:semiHidden/>
    <w:unhideWhenUsed/>
    <w:rsid w:val="00104CB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69"/>
    <w:pPr>
      <w:spacing w:line="276" w:lineRule="auto"/>
    </w:pPr>
    <w:rPr>
      <w:rFonts w:ascii="Arial" w:hAnsi="Arial" w:cs="Arial"/>
      <w:sz w:val="24"/>
      <w:szCs w:val="24"/>
    </w:rPr>
  </w:style>
  <w:style w:type="paragraph" w:styleId="Titre1">
    <w:name w:val="heading 1"/>
    <w:basedOn w:val="Normal"/>
    <w:next w:val="Normal"/>
    <w:link w:val="Titre1Car"/>
    <w:uiPriority w:val="9"/>
    <w:qFormat/>
    <w:rsid w:val="00085F5A"/>
    <w:pPr>
      <w:keepNext/>
      <w:keepLines/>
      <w:spacing w:before="240" w:after="240"/>
      <w:outlineLvl w:val="0"/>
    </w:pPr>
    <w:rPr>
      <w:rFonts w:eastAsiaTheme="majorEastAsia"/>
      <w:b/>
      <w:color w:val="2F5496" w:themeColor="accent1" w:themeShade="BF"/>
      <w:sz w:val="40"/>
      <w:szCs w:val="40"/>
    </w:rPr>
  </w:style>
  <w:style w:type="paragraph" w:styleId="Titre2">
    <w:name w:val="heading 2"/>
    <w:basedOn w:val="Normal"/>
    <w:next w:val="Normal"/>
    <w:link w:val="Titre2Car"/>
    <w:uiPriority w:val="9"/>
    <w:unhideWhenUsed/>
    <w:qFormat/>
    <w:rsid w:val="00A6141A"/>
    <w:pPr>
      <w:keepNext/>
      <w:keepLines/>
      <w:spacing w:before="40" w:after="240"/>
      <w:outlineLvl w:val="1"/>
    </w:pPr>
    <w:rPr>
      <w:rFonts w:eastAsiaTheme="majorEastAsia"/>
      <w:color w:val="2F5496" w:themeColor="accent1" w:themeShade="BF"/>
      <w:sz w:val="32"/>
      <w:szCs w:val="32"/>
    </w:rPr>
  </w:style>
  <w:style w:type="paragraph" w:styleId="Titre3">
    <w:name w:val="heading 3"/>
    <w:basedOn w:val="Normal"/>
    <w:next w:val="Normal"/>
    <w:link w:val="Titre3Car"/>
    <w:uiPriority w:val="9"/>
    <w:unhideWhenUsed/>
    <w:qFormat/>
    <w:rsid w:val="005A3613"/>
    <w:p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A7E69"/>
    <w:pPr>
      <w:spacing w:after="0" w:line="240" w:lineRule="auto"/>
      <w:contextualSpacing/>
    </w:pPr>
    <w:rPr>
      <w:rFonts w:eastAsiaTheme="majorEastAsia" w:cstheme="majorBidi"/>
      <w:b/>
      <w:color w:val="002060"/>
      <w:spacing w:val="-10"/>
      <w:kern w:val="28"/>
      <w:sz w:val="72"/>
      <w:szCs w:val="56"/>
    </w:rPr>
  </w:style>
  <w:style w:type="character" w:customStyle="1" w:styleId="TitreCar">
    <w:name w:val="Titre Car"/>
    <w:basedOn w:val="Policepardfaut"/>
    <w:link w:val="Titre"/>
    <w:uiPriority w:val="10"/>
    <w:rsid w:val="00CA7E69"/>
    <w:rPr>
      <w:rFonts w:eastAsiaTheme="majorEastAsia" w:cstheme="majorBidi"/>
      <w:b/>
      <w:color w:val="002060"/>
      <w:spacing w:val="-10"/>
      <w:kern w:val="28"/>
      <w:sz w:val="72"/>
      <w:szCs w:val="56"/>
    </w:rPr>
  </w:style>
  <w:style w:type="paragraph" w:styleId="En-tte">
    <w:name w:val="header"/>
    <w:basedOn w:val="Normal"/>
    <w:link w:val="En-tteCar"/>
    <w:uiPriority w:val="99"/>
    <w:unhideWhenUsed/>
    <w:rsid w:val="00CA7E69"/>
    <w:pPr>
      <w:tabs>
        <w:tab w:val="center" w:pos="4703"/>
        <w:tab w:val="right" w:pos="9406"/>
      </w:tabs>
      <w:spacing w:after="0" w:line="240" w:lineRule="auto"/>
    </w:pPr>
  </w:style>
  <w:style w:type="character" w:customStyle="1" w:styleId="En-tteCar">
    <w:name w:val="En-tête Car"/>
    <w:basedOn w:val="Policepardfaut"/>
    <w:link w:val="En-tte"/>
    <w:uiPriority w:val="99"/>
    <w:rsid w:val="00CA7E69"/>
  </w:style>
  <w:style w:type="paragraph" w:styleId="Pieddepage">
    <w:name w:val="footer"/>
    <w:basedOn w:val="Normal"/>
    <w:link w:val="PieddepageCar"/>
    <w:uiPriority w:val="99"/>
    <w:unhideWhenUsed/>
    <w:rsid w:val="00CA7E6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A7E69"/>
  </w:style>
  <w:style w:type="character" w:customStyle="1" w:styleId="Titre1Car">
    <w:name w:val="Titre 1 Car"/>
    <w:basedOn w:val="Policepardfaut"/>
    <w:link w:val="Titre1"/>
    <w:uiPriority w:val="9"/>
    <w:rsid w:val="00085F5A"/>
    <w:rPr>
      <w:rFonts w:ascii="Arial" w:eastAsiaTheme="majorEastAsia" w:hAnsi="Arial" w:cs="Arial"/>
      <w:b/>
      <w:color w:val="2F5496" w:themeColor="accent1" w:themeShade="BF"/>
      <w:sz w:val="40"/>
      <w:szCs w:val="40"/>
    </w:rPr>
  </w:style>
  <w:style w:type="character" w:customStyle="1" w:styleId="Titre2Car">
    <w:name w:val="Titre 2 Car"/>
    <w:basedOn w:val="Policepardfaut"/>
    <w:link w:val="Titre2"/>
    <w:uiPriority w:val="9"/>
    <w:rsid w:val="00A6141A"/>
    <w:rPr>
      <w:rFonts w:ascii="Arial" w:eastAsiaTheme="majorEastAsia" w:hAnsi="Arial" w:cs="Arial"/>
      <w:color w:val="2F5496" w:themeColor="accent1" w:themeShade="BF"/>
      <w:sz w:val="32"/>
      <w:szCs w:val="32"/>
    </w:rPr>
  </w:style>
  <w:style w:type="table" w:styleId="Grilledutableau">
    <w:name w:val="Table Grid"/>
    <w:basedOn w:val="TableauNormal"/>
    <w:uiPriority w:val="39"/>
    <w:rsid w:val="00CA7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57B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7BB6"/>
    <w:rPr>
      <w:rFonts w:ascii="Segoe UI" w:hAnsi="Segoe UI" w:cs="Segoe UI"/>
      <w:sz w:val="18"/>
      <w:szCs w:val="18"/>
    </w:rPr>
  </w:style>
  <w:style w:type="paragraph" w:styleId="Paragraphedeliste">
    <w:name w:val="List Paragraph"/>
    <w:basedOn w:val="Normal"/>
    <w:uiPriority w:val="34"/>
    <w:qFormat/>
    <w:rsid w:val="008B6069"/>
    <w:pPr>
      <w:ind w:left="720"/>
      <w:contextualSpacing/>
    </w:pPr>
  </w:style>
  <w:style w:type="character" w:styleId="Lienhypertexte">
    <w:name w:val="Hyperlink"/>
    <w:basedOn w:val="Policepardfaut"/>
    <w:uiPriority w:val="99"/>
    <w:unhideWhenUsed/>
    <w:rsid w:val="00162898"/>
    <w:rPr>
      <w:color w:val="0563C1" w:themeColor="hyperlink"/>
      <w:u w:val="single"/>
    </w:rPr>
  </w:style>
  <w:style w:type="character" w:customStyle="1" w:styleId="UnresolvedMention">
    <w:name w:val="Unresolved Mention"/>
    <w:basedOn w:val="Policepardfaut"/>
    <w:uiPriority w:val="99"/>
    <w:semiHidden/>
    <w:unhideWhenUsed/>
    <w:rsid w:val="00162898"/>
    <w:rPr>
      <w:color w:val="605E5C"/>
      <w:shd w:val="clear" w:color="auto" w:fill="E1DFDD"/>
    </w:rPr>
  </w:style>
  <w:style w:type="character" w:customStyle="1" w:styleId="Titre3Car">
    <w:name w:val="Titre 3 Car"/>
    <w:basedOn w:val="Policepardfaut"/>
    <w:link w:val="Titre3"/>
    <w:uiPriority w:val="9"/>
    <w:rsid w:val="005A3613"/>
    <w:rPr>
      <w:rFonts w:ascii="Arial" w:hAnsi="Arial" w:cs="Arial"/>
      <w:b/>
      <w:sz w:val="24"/>
      <w:szCs w:val="24"/>
    </w:rPr>
  </w:style>
  <w:style w:type="character" w:styleId="lev">
    <w:name w:val="Strong"/>
    <w:basedOn w:val="Policepardfaut"/>
    <w:uiPriority w:val="22"/>
    <w:qFormat/>
    <w:rsid w:val="00EC2FC7"/>
    <w:rPr>
      <w:b/>
      <w:bCs/>
    </w:rPr>
  </w:style>
  <w:style w:type="paragraph" w:styleId="NormalWeb">
    <w:name w:val="Normal (Web)"/>
    <w:basedOn w:val="Normal"/>
    <w:uiPriority w:val="99"/>
    <w:unhideWhenUsed/>
    <w:rsid w:val="00EC2FC7"/>
    <w:pPr>
      <w:spacing w:before="100" w:beforeAutospacing="1" w:after="100" w:afterAutospacing="1" w:line="240" w:lineRule="auto"/>
    </w:pPr>
    <w:rPr>
      <w:rFonts w:ascii="Times New Roman" w:eastAsia="Times New Roman" w:hAnsi="Times New Roman" w:cs="Times New Roman"/>
      <w:lang w:eastAsia="fr-CA"/>
    </w:rPr>
  </w:style>
  <w:style w:type="character" w:styleId="Lienhypertextesuivivisit">
    <w:name w:val="FollowedHyperlink"/>
    <w:basedOn w:val="Policepardfaut"/>
    <w:uiPriority w:val="99"/>
    <w:semiHidden/>
    <w:unhideWhenUsed/>
    <w:rsid w:val="00104C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67720">
      <w:bodyDiv w:val="1"/>
      <w:marLeft w:val="0"/>
      <w:marRight w:val="0"/>
      <w:marTop w:val="0"/>
      <w:marBottom w:val="0"/>
      <w:divBdr>
        <w:top w:val="none" w:sz="0" w:space="0" w:color="auto"/>
        <w:left w:val="none" w:sz="0" w:space="0" w:color="auto"/>
        <w:bottom w:val="none" w:sz="0" w:space="0" w:color="auto"/>
        <w:right w:val="none" w:sz="0" w:space="0" w:color="auto"/>
      </w:divBdr>
    </w:div>
    <w:div w:id="1234121198">
      <w:bodyDiv w:val="1"/>
      <w:marLeft w:val="0"/>
      <w:marRight w:val="0"/>
      <w:marTop w:val="0"/>
      <w:marBottom w:val="0"/>
      <w:divBdr>
        <w:top w:val="none" w:sz="0" w:space="0" w:color="auto"/>
        <w:left w:val="none" w:sz="0" w:space="0" w:color="auto"/>
        <w:bottom w:val="none" w:sz="0" w:space="0" w:color="auto"/>
        <w:right w:val="none" w:sz="0" w:space="0" w:color="auto"/>
      </w:divBdr>
    </w:div>
    <w:div w:id="1289236345">
      <w:bodyDiv w:val="1"/>
      <w:marLeft w:val="0"/>
      <w:marRight w:val="0"/>
      <w:marTop w:val="0"/>
      <w:marBottom w:val="0"/>
      <w:divBdr>
        <w:top w:val="none" w:sz="0" w:space="0" w:color="auto"/>
        <w:left w:val="none" w:sz="0" w:space="0" w:color="auto"/>
        <w:bottom w:val="none" w:sz="0" w:space="0" w:color="auto"/>
        <w:right w:val="none" w:sz="0" w:space="0" w:color="auto"/>
      </w:divBdr>
    </w:div>
    <w:div w:id="154903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BC1CA-6FA1-4FA4-B5EB-F2F77A523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2107</Words>
  <Characters>11594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Dir_Adj</dc:creator>
  <cp:lastModifiedBy>SC-raamm</cp:lastModifiedBy>
  <cp:revision>2</cp:revision>
  <dcterms:created xsi:type="dcterms:W3CDTF">2026-03-19T17:43:00Z</dcterms:created>
  <dcterms:modified xsi:type="dcterms:W3CDTF">2026-03-19T17:43:00Z</dcterms:modified>
</cp:coreProperties>
</file>