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1AFE85" w14:textId="77777777" w:rsidR="00BF02D1" w:rsidRDefault="00000000">
      <w:pPr>
        <w:widowControl w:val="0"/>
        <w:spacing w:before="600"/>
        <w:ind w:right="180"/>
        <w:jc w:val="right"/>
        <w:rPr>
          <w:rFonts w:ascii="Lexend" w:eastAsia="Lexend" w:hAnsi="Lexend" w:cs="Lexend"/>
          <w:color w:val="9FBDED"/>
          <w:sz w:val="28"/>
          <w:szCs w:val="28"/>
        </w:rPr>
      </w:pPr>
      <w:r>
        <w:rPr>
          <w:rFonts w:ascii="Lexend" w:eastAsia="Lexend" w:hAnsi="Lexend" w:cs="Lexend"/>
          <w:color w:val="9FBDED"/>
          <w:sz w:val="28"/>
          <w:szCs w:val="28"/>
        </w:rPr>
        <w:t>MARIE AYOTTE</w:t>
      </w:r>
    </w:p>
    <w:p w14:paraId="4E1AFE86" w14:textId="77777777" w:rsidR="00BF02D1" w:rsidRDefault="00000000">
      <w:pPr>
        <w:widowControl w:val="0"/>
        <w:spacing w:after="1200"/>
        <w:ind w:right="180"/>
        <w:jc w:val="right"/>
        <w:rPr>
          <w:color w:val="6D9EEB"/>
        </w:rPr>
      </w:pPr>
      <w:r>
        <w:rPr>
          <w:rFonts w:ascii="Lexend" w:eastAsia="Lexend" w:hAnsi="Lexend" w:cs="Lexend"/>
          <w:noProof/>
          <w:color w:val="9FBDED"/>
          <w:sz w:val="28"/>
          <w:szCs w:val="28"/>
        </w:rPr>
        <w:drawing>
          <wp:anchor distT="0" distB="0" distL="0" distR="0" simplePos="0" relativeHeight="251658240" behindDoc="1" locked="0" layoutInCell="1" hidden="0" allowOverlap="1" wp14:anchorId="4E1B00F9" wp14:editId="4E1B00FA">
            <wp:simplePos x="0" y="0"/>
            <wp:positionH relativeFrom="page">
              <wp:posOffset>0</wp:posOffset>
            </wp:positionH>
            <wp:positionV relativeFrom="page">
              <wp:posOffset>0</wp:posOffset>
            </wp:positionV>
            <wp:extent cx="7772400" cy="10058400"/>
            <wp:effectExtent l="0" t="0" r="0" b="0"/>
            <wp:wrapNone/>
            <wp:docPr id="130602839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7772400" cy="10058400"/>
                    </a:xfrm>
                    <a:prstGeom prst="rect">
                      <a:avLst/>
                    </a:prstGeom>
                    <a:ln/>
                  </pic:spPr>
                </pic:pic>
              </a:graphicData>
            </a:graphic>
          </wp:anchor>
        </w:drawing>
      </w:r>
      <w:r>
        <w:rPr>
          <w:rFonts w:ascii="Lexend" w:eastAsia="Lexend" w:hAnsi="Lexend" w:cs="Lexend"/>
          <w:color w:val="9FBDED"/>
          <w:sz w:val="28"/>
          <w:szCs w:val="28"/>
        </w:rPr>
        <w:t>ANDRÉE-ANNE GIGUÈRE</w:t>
      </w:r>
      <w:r>
        <w:rPr>
          <w:color w:val="6D9EEB"/>
        </w:rPr>
        <w:t xml:space="preserve"> </w:t>
      </w:r>
    </w:p>
    <w:p w14:paraId="4E1AFE87" w14:textId="77777777" w:rsidR="00BF02D1" w:rsidRDefault="00000000">
      <w:pPr>
        <w:pStyle w:val="Titre1"/>
      </w:pPr>
      <w:bookmarkStart w:id="0" w:name="_heading=h.gjdgxs" w:colFirst="0" w:colLast="0"/>
      <w:bookmarkEnd w:id="0"/>
      <w:r>
        <w:t>INTRODUCTION À L’ACCESSIBILITÉ CRÉATIVE</w:t>
      </w:r>
    </w:p>
    <w:p w14:paraId="4E1AFE88" w14:textId="77777777" w:rsidR="00BF02D1" w:rsidRDefault="00000000">
      <w:pPr>
        <w:widowControl w:val="0"/>
        <w:spacing w:before="600" w:after="1200"/>
        <w:jc w:val="left"/>
        <w:rPr>
          <w:rFonts w:ascii="Lexend" w:eastAsia="Lexend" w:hAnsi="Lexend" w:cs="Lexend"/>
          <w:color w:val="9FBDED"/>
        </w:rPr>
      </w:pPr>
      <w:r>
        <w:rPr>
          <w:rFonts w:ascii="Lexend" w:eastAsia="Lexend" w:hAnsi="Lexend" w:cs="Lexend"/>
          <w:color w:val="9FBDED"/>
          <w:sz w:val="32"/>
          <w:szCs w:val="32"/>
        </w:rPr>
        <w:t>Outil de réflexion pour penser l'accessibilité dans toutes les étapes d’une création en arts vivants</w:t>
      </w:r>
      <w:r>
        <w:rPr>
          <w:noProof/>
        </w:rPr>
        <w:drawing>
          <wp:anchor distT="114300" distB="114300" distL="114300" distR="114300" simplePos="0" relativeHeight="251659264" behindDoc="0" locked="0" layoutInCell="1" hidden="0" allowOverlap="1" wp14:anchorId="4E1B00FB" wp14:editId="4E1B00FC">
            <wp:simplePos x="0" y="0"/>
            <wp:positionH relativeFrom="column">
              <wp:posOffset>2762250</wp:posOffset>
            </wp:positionH>
            <wp:positionV relativeFrom="paragraph">
              <wp:posOffset>1504950</wp:posOffset>
            </wp:positionV>
            <wp:extent cx="3181590" cy="1142383"/>
            <wp:effectExtent l="0" t="0" r="0" b="0"/>
            <wp:wrapNone/>
            <wp:docPr id="1306028357" name="image6.png" descr="Logo de Théâtre Déchaînés"/>
            <wp:cNvGraphicFramePr/>
            <a:graphic xmlns:a="http://schemas.openxmlformats.org/drawingml/2006/main">
              <a:graphicData uri="http://schemas.openxmlformats.org/drawingml/2006/picture">
                <pic:pic xmlns:pic="http://schemas.openxmlformats.org/drawingml/2006/picture">
                  <pic:nvPicPr>
                    <pic:cNvPr id="0" name="image6.png" descr="Logo de Théâtre Déchaînés"/>
                    <pic:cNvPicPr preferRelativeResize="0"/>
                  </pic:nvPicPr>
                  <pic:blipFill>
                    <a:blip r:embed="rId9"/>
                    <a:srcRect t="1182" b="1182"/>
                    <a:stretch>
                      <a:fillRect/>
                    </a:stretch>
                  </pic:blipFill>
                  <pic:spPr>
                    <a:xfrm>
                      <a:off x="0" y="0"/>
                      <a:ext cx="3181590" cy="1142383"/>
                    </a:xfrm>
                    <a:prstGeom prst="rect">
                      <a:avLst/>
                    </a:prstGeom>
                    <a:ln/>
                  </pic:spPr>
                </pic:pic>
              </a:graphicData>
            </a:graphic>
          </wp:anchor>
        </w:drawing>
      </w:r>
    </w:p>
    <w:p w14:paraId="4E1AFE89" w14:textId="77777777" w:rsidR="00BF02D1" w:rsidRDefault="00000000">
      <w:pPr>
        <w:pStyle w:val="Titre2"/>
        <w:widowControl w:val="0"/>
        <w:ind w:right="450"/>
      </w:pPr>
      <w:bookmarkStart w:id="1" w:name="_heading=h.30j0zll" w:colFirst="0" w:colLast="0"/>
      <w:bookmarkEnd w:id="1"/>
      <w:r>
        <w:rPr>
          <w:noProof/>
        </w:rPr>
        <w:lastRenderedPageBreak/>
        <w:drawing>
          <wp:anchor distT="0" distB="0" distL="0" distR="0" simplePos="0" relativeHeight="251660288" behindDoc="1" locked="0" layoutInCell="1" hidden="0" allowOverlap="1" wp14:anchorId="4E1B00FD" wp14:editId="22FE0456">
            <wp:simplePos x="0" y="0"/>
            <wp:positionH relativeFrom="page">
              <wp:posOffset>3526790</wp:posOffset>
            </wp:positionH>
            <wp:positionV relativeFrom="page">
              <wp:posOffset>697702</wp:posOffset>
            </wp:positionV>
            <wp:extent cx="4492869" cy="600075"/>
            <wp:effectExtent l="0" t="0" r="3175" b="0"/>
            <wp:wrapNone/>
            <wp:docPr id="130602839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492869" cy="600075"/>
                    </a:xfrm>
                    <a:prstGeom prst="rect">
                      <a:avLst/>
                    </a:prstGeom>
                    <a:ln/>
                  </pic:spPr>
                </pic:pic>
              </a:graphicData>
            </a:graphic>
          </wp:anchor>
        </w:drawing>
      </w:r>
      <w:r>
        <w:t>Crédits et remerciements</w:t>
      </w:r>
    </w:p>
    <w:p w14:paraId="4E1AFE8A" w14:textId="77777777" w:rsidR="00BF02D1" w:rsidRDefault="00000000">
      <w:pPr>
        <w:widowControl w:val="0"/>
        <w:ind w:right="450"/>
        <w:jc w:val="left"/>
        <w:rPr>
          <w:rFonts w:ascii="Lexend SemiBold" w:eastAsia="Lexend SemiBold" w:hAnsi="Lexend SemiBold" w:cs="Lexend SemiBold"/>
          <w:color w:val="131A45"/>
        </w:rPr>
      </w:pPr>
      <w:r>
        <w:rPr>
          <w:rFonts w:ascii="Lexend SemiBold" w:eastAsia="Lexend SemiBold" w:hAnsi="Lexend SemiBold" w:cs="Lexend SemiBold"/>
          <w:color w:val="131A45"/>
        </w:rPr>
        <w:t xml:space="preserve">Développement et écriture : </w:t>
      </w:r>
    </w:p>
    <w:p w14:paraId="4E1AFE8B" w14:textId="77777777" w:rsidR="00BF02D1" w:rsidRDefault="00000000">
      <w:pPr>
        <w:widowControl w:val="0"/>
        <w:spacing w:before="0"/>
        <w:rPr>
          <w:color w:val="131A45"/>
        </w:rPr>
      </w:pPr>
      <w:r>
        <w:rPr>
          <w:color w:val="131A45"/>
        </w:rPr>
        <w:t>Marie Ayotte</w:t>
      </w:r>
    </w:p>
    <w:p w14:paraId="4E1AFE8C" w14:textId="77777777" w:rsidR="00BF02D1" w:rsidRDefault="00000000">
      <w:pPr>
        <w:widowControl w:val="0"/>
        <w:spacing w:before="0"/>
        <w:rPr>
          <w:color w:val="131A45"/>
        </w:rPr>
      </w:pPr>
      <w:r>
        <w:rPr>
          <w:color w:val="131A45"/>
        </w:rPr>
        <w:t>Andrée-Anne Giguère</w:t>
      </w:r>
    </w:p>
    <w:p w14:paraId="4E1AFE8D" w14:textId="77777777" w:rsidR="00BF02D1" w:rsidRDefault="00000000">
      <w:pPr>
        <w:widowControl w:val="0"/>
        <w:spacing w:before="600"/>
        <w:rPr>
          <w:rFonts w:ascii="Lexend SemiBold" w:eastAsia="Lexend SemiBold" w:hAnsi="Lexend SemiBold" w:cs="Lexend SemiBold"/>
          <w:color w:val="131A45"/>
        </w:rPr>
      </w:pPr>
      <w:r>
        <w:rPr>
          <w:rFonts w:ascii="Lexend SemiBold" w:eastAsia="Lexend SemiBold" w:hAnsi="Lexend SemiBold" w:cs="Lexend SemiBold"/>
          <w:color w:val="131A45"/>
        </w:rPr>
        <w:t xml:space="preserve">Correction : </w:t>
      </w:r>
    </w:p>
    <w:p w14:paraId="4E1AFE8E" w14:textId="77777777" w:rsidR="00BF02D1" w:rsidRDefault="00000000">
      <w:pPr>
        <w:widowControl w:val="0"/>
        <w:spacing w:before="0"/>
        <w:rPr>
          <w:color w:val="131A45"/>
        </w:rPr>
      </w:pPr>
      <w:r>
        <w:rPr>
          <w:color w:val="131A45"/>
        </w:rPr>
        <w:t xml:space="preserve">Laurence Marie Robillard </w:t>
      </w:r>
    </w:p>
    <w:p w14:paraId="4E1AFE8F" w14:textId="77777777" w:rsidR="00BF02D1" w:rsidRDefault="00000000">
      <w:pPr>
        <w:widowControl w:val="0"/>
        <w:spacing w:before="600"/>
        <w:rPr>
          <w:rFonts w:ascii="Lexend SemiBold" w:eastAsia="Lexend SemiBold" w:hAnsi="Lexend SemiBold" w:cs="Lexend SemiBold"/>
          <w:color w:val="131A45"/>
        </w:rPr>
      </w:pPr>
      <w:r>
        <w:rPr>
          <w:rFonts w:ascii="Lexend SemiBold" w:eastAsia="Lexend SemiBold" w:hAnsi="Lexend SemiBold" w:cs="Lexend SemiBold"/>
          <w:color w:val="131A45"/>
        </w:rPr>
        <w:t xml:space="preserve">Relecture : </w:t>
      </w:r>
    </w:p>
    <w:p w14:paraId="4E1AFE90" w14:textId="77777777" w:rsidR="00BF02D1" w:rsidRDefault="00000000">
      <w:pPr>
        <w:widowControl w:val="0"/>
        <w:spacing w:before="0"/>
        <w:rPr>
          <w:color w:val="131A45"/>
        </w:rPr>
      </w:pPr>
      <w:r>
        <w:rPr>
          <w:color w:val="131A45"/>
        </w:rPr>
        <w:t xml:space="preserve">Olivier Caron Brisebois </w:t>
      </w:r>
    </w:p>
    <w:p w14:paraId="4E1AFE91" w14:textId="77777777" w:rsidR="00BF02D1" w:rsidRDefault="00000000">
      <w:pPr>
        <w:widowControl w:val="0"/>
        <w:spacing w:before="0"/>
        <w:rPr>
          <w:color w:val="131A45"/>
        </w:rPr>
      </w:pPr>
      <w:r>
        <w:rPr>
          <w:color w:val="131A45"/>
        </w:rPr>
        <w:t>Maxime D.-Pomerleau</w:t>
      </w:r>
    </w:p>
    <w:p w14:paraId="4E1AFE92" w14:textId="77777777" w:rsidR="00BF02D1" w:rsidRDefault="00000000">
      <w:pPr>
        <w:widowControl w:val="0"/>
        <w:spacing w:before="0"/>
        <w:rPr>
          <w:color w:val="131A45"/>
        </w:rPr>
      </w:pPr>
      <w:r>
        <w:rPr>
          <w:color w:val="131A45"/>
        </w:rPr>
        <w:t>Oanh Nguyen</w:t>
      </w:r>
    </w:p>
    <w:p w14:paraId="4E1AFE93" w14:textId="77777777" w:rsidR="00BF02D1" w:rsidRDefault="00000000">
      <w:pPr>
        <w:widowControl w:val="0"/>
        <w:spacing w:before="0"/>
        <w:rPr>
          <w:color w:val="131A45"/>
        </w:rPr>
      </w:pPr>
      <w:r>
        <w:rPr>
          <w:color w:val="131A45"/>
        </w:rPr>
        <w:t>Eveline Payette-</w:t>
      </w:r>
      <w:proofErr w:type="spellStart"/>
      <w:r>
        <w:rPr>
          <w:color w:val="131A45"/>
        </w:rPr>
        <w:t>Dalpé</w:t>
      </w:r>
      <w:proofErr w:type="spellEnd"/>
    </w:p>
    <w:p w14:paraId="4E1AFE94" w14:textId="77777777" w:rsidR="00BF02D1" w:rsidRDefault="00000000">
      <w:pPr>
        <w:widowControl w:val="0"/>
        <w:spacing w:before="600"/>
        <w:rPr>
          <w:color w:val="131A45"/>
        </w:rPr>
      </w:pPr>
      <w:r>
        <w:rPr>
          <w:color w:val="131A45"/>
        </w:rPr>
        <w:t xml:space="preserve">Nous remercions toutes les personnes et organismes qui ont contribué de près ou de loin à l’élaboration de cet outil au cours des trois dernières années. Ce projet n'aurait pu voir le jour sans votre soutien, vos réflexions ni le partage de votre riche savoir. </w:t>
      </w:r>
    </w:p>
    <w:p w14:paraId="4E1AFE95" w14:textId="77777777" w:rsidR="00BF02D1" w:rsidRDefault="00000000">
      <w:pPr>
        <w:widowControl w:val="0"/>
        <w:spacing w:after="400"/>
        <w:rPr>
          <w:i/>
          <w:color w:val="131A45"/>
        </w:rPr>
      </w:pPr>
      <w:r>
        <w:rPr>
          <w:color w:val="131A45"/>
        </w:rPr>
        <w:t xml:space="preserve">Nous remercions aussi nos partenaires :  </w:t>
      </w:r>
      <w:r>
        <w:rPr>
          <w:noProof/>
        </w:rPr>
        <w:drawing>
          <wp:anchor distT="0" distB="0" distL="0" distR="0" simplePos="0" relativeHeight="251661312" behindDoc="1" locked="0" layoutInCell="1" hidden="0" allowOverlap="1" wp14:anchorId="4E1B00FF" wp14:editId="4E1B0100">
            <wp:simplePos x="0" y="0"/>
            <wp:positionH relativeFrom="column">
              <wp:posOffset>3680268</wp:posOffset>
            </wp:positionH>
            <wp:positionV relativeFrom="paragraph">
              <wp:posOffset>605860</wp:posOffset>
            </wp:positionV>
            <wp:extent cx="2263331" cy="680014"/>
            <wp:effectExtent l="0" t="0" r="0" b="0"/>
            <wp:wrapNone/>
            <wp:docPr id="1306028384" name="image9.jpg" descr="Gouvernement du Québec"/>
            <wp:cNvGraphicFramePr/>
            <a:graphic xmlns:a="http://schemas.openxmlformats.org/drawingml/2006/main">
              <a:graphicData uri="http://schemas.openxmlformats.org/drawingml/2006/picture">
                <pic:pic xmlns:pic="http://schemas.openxmlformats.org/drawingml/2006/picture">
                  <pic:nvPicPr>
                    <pic:cNvPr id="0" name="image9.jpg" descr="Gouvernement du Québec"/>
                    <pic:cNvPicPr preferRelativeResize="0"/>
                  </pic:nvPicPr>
                  <pic:blipFill>
                    <a:blip r:embed="rId11"/>
                    <a:srcRect/>
                    <a:stretch>
                      <a:fillRect/>
                    </a:stretch>
                  </pic:blipFill>
                  <pic:spPr>
                    <a:xfrm>
                      <a:off x="0" y="0"/>
                      <a:ext cx="2263331" cy="680014"/>
                    </a:xfrm>
                    <a:prstGeom prst="rect">
                      <a:avLst/>
                    </a:prstGeom>
                    <a:ln/>
                  </pic:spPr>
                </pic:pic>
              </a:graphicData>
            </a:graphic>
          </wp:anchor>
        </w:drawing>
      </w:r>
    </w:p>
    <w:p w14:paraId="4E1AFE96" w14:textId="77777777" w:rsidR="00BF02D1" w:rsidRDefault="00000000">
      <w:pPr>
        <w:widowControl w:val="0"/>
        <w:rPr>
          <w:i/>
          <w:color w:val="131A45"/>
        </w:rPr>
      </w:pPr>
      <w:r>
        <w:rPr>
          <w:i/>
          <w:noProof/>
          <w:color w:val="131A45"/>
        </w:rPr>
        <w:drawing>
          <wp:inline distT="114300" distB="114300" distL="114300" distR="114300" wp14:anchorId="4E1B0101" wp14:editId="4E1B0102">
            <wp:extent cx="3200293" cy="588355"/>
            <wp:effectExtent l="0" t="0" r="0" b="0"/>
            <wp:docPr id="1306028402" name="image10.png" descr="Conseil des arts du Canada"/>
            <wp:cNvGraphicFramePr/>
            <a:graphic xmlns:a="http://schemas.openxmlformats.org/drawingml/2006/main">
              <a:graphicData uri="http://schemas.openxmlformats.org/drawingml/2006/picture">
                <pic:pic xmlns:pic="http://schemas.openxmlformats.org/drawingml/2006/picture">
                  <pic:nvPicPr>
                    <pic:cNvPr id="0" name="image10.png" descr="Conseil des arts du Canada"/>
                    <pic:cNvPicPr preferRelativeResize="0"/>
                  </pic:nvPicPr>
                  <pic:blipFill>
                    <a:blip r:embed="rId12"/>
                    <a:srcRect/>
                    <a:stretch>
                      <a:fillRect/>
                    </a:stretch>
                  </pic:blipFill>
                  <pic:spPr>
                    <a:xfrm>
                      <a:off x="0" y="0"/>
                      <a:ext cx="3200293" cy="588355"/>
                    </a:xfrm>
                    <a:prstGeom prst="rect">
                      <a:avLst/>
                    </a:prstGeom>
                    <a:ln/>
                  </pic:spPr>
                </pic:pic>
              </a:graphicData>
            </a:graphic>
          </wp:inline>
        </w:drawing>
      </w:r>
      <w:r>
        <w:rPr>
          <w:noProof/>
        </w:rPr>
        <w:drawing>
          <wp:anchor distT="0" distB="0" distL="0" distR="0" simplePos="0" relativeHeight="251662336" behindDoc="1" locked="0" layoutInCell="1" hidden="0" allowOverlap="1" wp14:anchorId="4E1B0103" wp14:editId="4E1B0104">
            <wp:simplePos x="0" y="0"/>
            <wp:positionH relativeFrom="column">
              <wp:posOffset>1828800</wp:posOffset>
            </wp:positionH>
            <wp:positionV relativeFrom="paragraph">
              <wp:posOffset>717519</wp:posOffset>
            </wp:positionV>
            <wp:extent cx="1185863" cy="1185863"/>
            <wp:effectExtent l="0" t="0" r="0" b="0"/>
            <wp:wrapNone/>
            <wp:docPr id="1306028400" name="image12.png" descr="Altergo expertise"/>
            <wp:cNvGraphicFramePr/>
            <a:graphic xmlns:a="http://schemas.openxmlformats.org/drawingml/2006/main">
              <a:graphicData uri="http://schemas.openxmlformats.org/drawingml/2006/picture">
                <pic:pic xmlns:pic="http://schemas.openxmlformats.org/drawingml/2006/picture">
                  <pic:nvPicPr>
                    <pic:cNvPr id="0" name="image12.png" descr="Altergo expertise"/>
                    <pic:cNvPicPr preferRelativeResize="0"/>
                  </pic:nvPicPr>
                  <pic:blipFill>
                    <a:blip r:embed="rId13"/>
                    <a:srcRect/>
                    <a:stretch>
                      <a:fillRect/>
                    </a:stretch>
                  </pic:blipFill>
                  <pic:spPr>
                    <a:xfrm>
                      <a:off x="0" y="0"/>
                      <a:ext cx="1185863" cy="1185863"/>
                    </a:xfrm>
                    <a:prstGeom prst="rect">
                      <a:avLst/>
                    </a:prstGeom>
                    <a:ln/>
                  </pic:spPr>
                </pic:pic>
              </a:graphicData>
            </a:graphic>
          </wp:anchor>
        </w:drawing>
      </w:r>
    </w:p>
    <w:p w14:paraId="4E1AFE97" w14:textId="77777777" w:rsidR="00BF02D1" w:rsidRDefault="00000000">
      <w:pPr>
        <w:widowControl w:val="0"/>
        <w:rPr>
          <w:i/>
          <w:color w:val="131A45"/>
        </w:rPr>
      </w:pPr>
      <w:r>
        <w:rPr>
          <w:noProof/>
        </w:rPr>
        <w:drawing>
          <wp:anchor distT="0" distB="0" distL="0" distR="0" simplePos="0" relativeHeight="251663360" behindDoc="1" locked="0" layoutInCell="1" hidden="0" allowOverlap="1" wp14:anchorId="4E1B0105" wp14:editId="4E1B0106">
            <wp:simplePos x="0" y="0"/>
            <wp:positionH relativeFrom="column">
              <wp:posOffset>1</wp:posOffset>
            </wp:positionH>
            <wp:positionV relativeFrom="paragraph">
              <wp:posOffset>152400</wp:posOffset>
            </wp:positionV>
            <wp:extent cx="1595438" cy="912897"/>
            <wp:effectExtent l="0" t="0" r="0" b="0"/>
            <wp:wrapNone/>
            <wp:docPr id="1306028380" name="image5.jpg" descr="Caisse de la culture Desjardins"/>
            <wp:cNvGraphicFramePr/>
            <a:graphic xmlns:a="http://schemas.openxmlformats.org/drawingml/2006/main">
              <a:graphicData uri="http://schemas.openxmlformats.org/drawingml/2006/picture">
                <pic:pic xmlns:pic="http://schemas.openxmlformats.org/drawingml/2006/picture">
                  <pic:nvPicPr>
                    <pic:cNvPr id="0" name="image5.jpg" descr="Caisse de la culture Desjardins"/>
                    <pic:cNvPicPr preferRelativeResize="0"/>
                  </pic:nvPicPr>
                  <pic:blipFill>
                    <a:blip r:embed="rId14"/>
                    <a:srcRect/>
                    <a:stretch>
                      <a:fillRect/>
                    </a:stretch>
                  </pic:blipFill>
                  <pic:spPr>
                    <a:xfrm>
                      <a:off x="0" y="0"/>
                      <a:ext cx="1595438" cy="912897"/>
                    </a:xfrm>
                    <a:prstGeom prst="rect">
                      <a:avLst/>
                    </a:prstGeom>
                    <a:ln/>
                  </pic:spPr>
                </pic:pic>
              </a:graphicData>
            </a:graphic>
          </wp:anchor>
        </w:drawing>
      </w:r>
    </w:p>
    <w:p w14:paraId="4E1AFE98" w14:textId="77777777" w:rsidR="00BF02D1" w:rsidRDefault="00BF02D1">
      <w:pPr>
        <w:widowControl w:val="0"/>
        <w:jc w:val="left"/>
        <w:rPr>
          <w:i/>
          <w:color w:val="131A45"/>
        </w:rPr>
      </w:pPr>
    </w:p>
    <w:p w14:paraId="4E1AFE99" w14:textId="77777777" w:rsidR="00BF02D1" w:rsidRDefault="00BF02D1">
      <w:pPr>
        <w:widowControl w:val="0"/>
        <w:jc w:val="right"/>
        <w:rPr>
          <w:i/>
          <w:color w:val="131A45"/>
        </w:rPr>
      </w:pPr>
    </w:p>
    <w:p w14:paraId="4E1AFE9A" w14:textId="77777777" w:rsidR="00BF02D1" w:rsidRDefault="00000000">
      <w:pPr>
        <w:widowControl w:val="0"/>
        <w:jc w:val="right"/>
        <w:rPr>
          <w:i/>
          <w:color w:val="131A45"/>
          <w:sz w:val="10"/>
          <w:szCs w:val="10"/>
        </w:rPr>
      </w:pPr>
      <w:r>
        <w:rPr>
          <w:i/>
          <w:color w:val="131A45"/>
          <w:sz w:val="20"/>
          <w:szCs w:val="20"/>
        </w:rPr>
        <w:t xml:space="preserve">Tous droits réservés </w:t>
      </w:r>
      <w:r>
        <w:rPr>
          <w:i/>
          <w:color w:val="040C28"/>
          <w:sz w:val="20"/>
          <w:szCs w:val="20"/>
          <w:highlight w:val="white"/>
        </w:rPr>
        <w:t>© 2025</w:t>
      </w:r>
    </w:p>
    <w:p w14:paraId="4E1AFE9B" w14:textId="77777777" w:rsidR="00BF02D1" w:rsidRDefault="00000000">
      <w:pPr>
        <w:pStyle w:val="Titre2"/>
        <w:ind w:right="360"/>
        <w:rPr>
          <w:color w:val="131A45"/>
        </w:rPr>
      </w:pPr>
      <w:bookmarkStart w:id="2" w:name="_heading=h.1fob9te" w:colFirst="0" w:colLast="0"/>
      <w:bookmarkEnd w:id="2"/>
      <w:r>
        <w:rPr>
          <w:noProof/>
        </w:rPr>
        <w:lastRenderedPageBreak/>
        <w:drawing>
          <wp:anchor distT="0" distB="0" distL="0" distR="0" simplePos="0" relativeHeight="251664384" behindDoc="1" locked="0" layoutInCell="1" hidden="0" allowOverlap="1" wp14:anchorId="4E1B0107" wp14:editId="3705112A">
            <wp:simplePos x="0" y="0"/>
            <wp:positionH relativeFrom="page">
              <wp:posOffset>4246245</wp:posOffset>
            </wp:positionH>
            <wp:positionV relativeFrom="page">
              <wp:posOffset>707227</wp:posOffset>
            </wp:positionV>
            <wp:extent cx="4492869" cy="600075"/>
            <wp:effectExtent l="0" t="0" r="3175" b="0"/>
            <wp:wrapNone/>
            <wp:docPr id="13060283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492869" cy="600075"/>
                    </a:xfrm>
                    <a:prstGeom prst="rect">
                      <a:avLst/>
                    </a:prstGeom>
                    <a:ln/>
                  </pic:spPr>
                </pic:pic>
              </a:graphicData>
            </a:graphic>
          </wp:anchor>
        </w:drawing>
      </w:r>
      <w:r>
        <w:t>Table des matières</w:t>
      </w:r>
    </w:p>
    <w:sdt>
      <w:sdtPr>
        <w:id w:val="2256715"/>
        <w:docPartObj>
          <w:docPartGallery w:val="Table of Contents"/>
          <w:docPartUnique/>
        </w:docPartObj>
      </w:sdtPr>
      <w:sdtEndPr>
        <w:rPr>
          <w:color w:val="121A44"/>
        </w:rPr>
      </w:sdtEndPr>
      <w:sdtContent>
        <w:p w14:paraId="4E1AFE9C" w14:textId="6DE9CDBF" w:rsidR="00BF02D1" w:rsidRPr="00C23744" w:rsidRDefault="00BF02D1">
          <w:pPr>
            <w:widowControl w:val="0"/>
            <w:tabs>
              <w:tab w:val="right" w:leader="underscore" w:pos="12000"/>
            </w:tabs>
            <w:spacing w:before="160" w:line="240" w:lineRule="auto"/>
            <w:ind w:left="360"/>
            <w:jc w:val="left"/>
            <w:rPr>
              <w:rFonts w:ascii="Lexend SemiBold" w:eastAsia="Lexend SemiBold" w:hAnsi="Lexend SemiBold" w:cs="Lexend SemiBold"/>
              <w:color w:val="121A44"/>
              <w:sz w:val="22"/>
              <w:szCs w:val="22"/>
            </w:rPr>
          </w:pPr>
          <w:r w:rsidRPr="00C23744">
            <w:rPr>
              <w:color w:val="121A44"/>
            </w:rPr>
            <w:fldChar w:fldCharType="begin"/>
          </w:r>
          <w:r w:rsidR="00000000" w:rsidRPr="00C23744">
            <w:rPr>
              <w:color w:val="121A44"/>
            </w:rPr>
            <w:instrText xml:space="preserve"> TOC \h \u \z \t "Heading 2,2,Heading 4,4,Heading 5,5,Heading 6,6,"</w:instrText>
          </w:r>
          <w:r w:rsidRPr="00C23744">
            <w:rPr>
              <w:color w:val="121A44"/>
            </w:rPr>
            <w:fldChar w:fldCharType="separate"/>
          </w:r>
          <w:hyperlink w:anchor="_Introduction">
            <w:r w:rsidRPr="00C23744">
              <w:rPr>
                <w:rFonts w:ascii="Lexend SemiBold" w:eastAsia="Lexend SemiBold" w:hAnsi="Lexend SemiBold" w:cs="Lexend SemiBold"/>
                <w:color w:val="121A44"/>
              </w:rPr>
              <w:t>Introduction</w:t>
            </w:r>
          </w:hyperlink>
          <w:hyperlink w:anchor="_heading=">
            <w:r w:rsidRPr="00C23744">
              <w:rPr>
                <w:color w:val="121A44"/>
                <w:sz w:val="22"/>
                <w:szCs w:val="22"/>
              </w:rPr>
              <w:tab/>
            </w:r>
          </w:hyperlink>
          <w:hyperlink w:anchor="_Introduction" w:history="1">
            <w:r w:rsidR="00000000" w:rsidRPr="00C23744">
              <w:rPr>
                <w:rStyle w:val="Lienhypertexte"/>
              </w:rPr>
              <w:fldChar w:fldCharType="begin"/>
            </w:r>
            <w:r w:rsidR="00000000" w:rsidRPr="00C23744">
              <w:rPr>
                <w:rStyle w:val="Lienhypertexte"/>
              </w:rPr>
              <w:instrText xml:space="preserve"> PAGEREF _heading= \h </w:instrText>
            </w:r>
            <w:r w:rsidR="00000000" w:rsidRPr="00C23744">
              <w:rPr>
                <w:rStyle w:val="Lienhypertexte"/>
              </w:rPr>
            </w:r>
            <w:r w:rsidR="00000000" w:rsidRPr="00C23744">
              <w:rPr>
                <w:rStyle w:val="Lienhypertexte"/>
              </w:rPr>
              <w:fldChar w:fldCharType="separate"/>
            </w:r>
            <w:r w:rsidR="00000000" w:rsidRPr="00C23744">
              <w:rPr>
                <w:rStyle w:val="Lienhypertexte"/>
                <w:rFonts w:ascii="Lexend SemiBold" w:eastAsia="Lexend SemiBold" w:hAnsi="Lexend SemiBold" w:cs="Lexend SemiBold"/>
                <w:noProof/>
                <w:sz w:val="22"/>
                <w:szCs w:val="22"/>
              </w:rPr>
              <w:t>3</w:t>
            </w:r>
            <w:r w:rsidR="00000000" w:rsidRPr="00C23744">
              <w:rPr>
                <w:rStyle w:val="Lienhypertexte"/>
              </w:rPr>
              <w:fldChar w:fldCharType="end"/>
            </w:r>
          </w:hyperlink>
        </w:p>
        <w:p w14:paraId="4E1AFE9D" w14:textId="77777777" w:rsidR="00BF02D1" w:rsidRPr="00C23744" w:rsidRDefault="00BF02D1">
          <w:pPr>
            <w:widowControl w:val="0"/>
            <w:tabs>
              <w:tab w:val="right" w:leader="underscore" w:pos="12000"/>
            </w:tabs>
            <w:spacing w:before="160" w:line="240" w:lineRule="auto"/>
            <w:ind w:left="360"/>
            <w:jc w:val="left"/>
            <w:rPr>
              <w:rFonts w:ascii="Lexend SemiBold" w:eastAsia="Lexend SemiBold" w:hAnsi="Lexend SemiBold" w:cs="Lexend SemiBold"/>
              <w:color w:val="121A44"/>
              <w:sz w:val="22"/>
              <w:szCs w:val="22"/>
            </w:rPr>
          </w:pPr>
          <w:hyperlink w:anchor="_heading=h.3znysh7">
            <w:r w:rsidRPr="00C23744">
              <w:rPr>
                <w:rFonts w:ascii="Lexend SemiBold" w:eastAsia="Lexend SemiBold" w:hAnsi="Lexend SemiBold" w:cs="Lexend SemiBold"/>
                <w:color w:val="121A44"/>
              </w:rPr>
              <w:t>Glossaire des concepts de base</w:t>
            </w:r>
          </w:hyperlink>
          <w:hyperlink w:anchor="_heading=h.3znysh7">
            <w:r w:rsidRPr="00C23744">
              <w:rPr>
                <w:color w:val="121A44"/>
              </w:rPr>
              <w:tab/>
            </w:r>
          </w:hyperlink>
          <w:r w:rsidRPr="00C23744">
            <w:rPr>
              <w:color w:val="121A44"/>
            </w:rPr>
            <w:fldChar w:fldCharType="begin"/>
          </w:r>
          <w:r w:rsidRPr="00C23744">
            <w:rPr>
              <w:color w:val="121A44"/>
            </w:rPr>
            <w:instrText xml:space="preserve"> PAGEREF _heading=h.3znysh7 \h </w:instrText>
          </w:r>
          <w:r w:rsidRPr="00C23744">
            <w:rPr>
              <w:color w:val="121A44"/>
            </w:rPr>
          </w:r>
          <w:r w:rsidRPr="00C23744">
            <w:rPr>
              <w:color w:val="121A44"/>
            </w:rPr>
            <w:fldChar w:fldCharType="separate"/>
          </w:r>
          <w:r w:rsidRPr="00C23744">
            <w:rPr>
              <w:rFonts w:ascii="Lexend SemiBold" w:eastAsia="Lexend SemiBold" w:hAnsi="Lexend SemiBold" w:cs="Lexend SemiBold"/>
              <w:color w:val="121A44"/>
            </w:rPr>
            <w:t>6</w:t>
          </w:r>
          <w:r w:rsidRPr="00C23744">
            <w:rPr>
              <w:color w:val="121A44"/>
            </w:rPr>
            <w:fldChar w:fldCharType="end"/>
          </w:r>
        </w:p>
        <w:p w14:paraId="4E1AFE9E" w14:textId="77777777" w:rsidR="00BF02D1" w:rsidRPr="00C23744" w:rsidRDefault="00BF02D1">
          <w:pPr>
            <w:widowControl w:val="0"/>
            <w:tabs>
              <w:tab w:val="right" w:leader="underscore" w:pos="12000"/>
            </w:tabs>
            <w:spacing w:before="160" w:line="240" w:lineRule="auto"/>
            <w:ind w:left="360"/>
            <w:jc w:val="left"/>
            <w:rPr>
              <w:rFonts w:ascii="Lexend SemiBold" w:eastAsia="Lexend SemiBold" w:hAnsi="Lexend SemiBold" w:cs="Lexend SemiBold"/>
              <w:color w:val="121A44"/>
              <w:sz w:val="22"/>
              <w:szCs w:val="22"/>
            </w:rPr>
          </w:pPr>
          <w:hyperlink w:anchor="_heading=h.2et92p0">
            <w:r w:rsidRPr="00C23744">
              <w:rPr>
                <w:rFonts w:ascii="Lexend SemiBold" w:eastAsia="Lexend SemiBold" w:hAnsi="Lexend SemiBold" w:cs="Lexend SemiBold"/>
                <w:color w:val="121A44"/>
              </w:rPr>
              <w:t>Les modèles du handicap</w:t>
            </w:r>
          </w:hyperlink>
          <w:hyperlink w:anchor="_heading=h.2et92p0">
            <w:r w:rsidRPr="00C23744">
              <w:rPr>
                <w:color w:val="121A44"/>
              </w:rPr>
              <w:tab/>
            </w:r>
          </w:hyperlink>
          <w:r w:rsidRPr="00C23744">
            <w:rPr>
              <w:color w:val="121A44"/>
            </w:rPr>
            <w:fldChar w:fldCharType="begin"/>
          </w:r>
          <w:r w:rsidRPr="00C23744">
            <w:rPr>
              <w:color w:val="121A44"/>
            </w:rPr>
            <w:instrText xml:space="preserve"> PAGEREF _heading=h.2et92p0 \h </w:instrText>
          </w:r>
          <w:r w:rsidRPr="00C23744">
            <w:rPr>
              <w:color w:val="121A44"/>
            </w:rPr>
          </w:r>
          <w:r w:rsidRPr="00C23744">
            <w:rPr>
              <w:color w:val="121A44"/>
            </w:rPr>
            <w:fldChar w:fldCharType="separate"/>
          </w:r>
          <w:r w:rsidRPr="00C23744">
            <w:rPr>
              <w:rFonts w:ascii="Lexend SemiBold" w:eastAsia="Lexend SemiBold" w:hAnsi="Lexend SemiBold" w:cs="Lexend SemiBold"/>
              <w:color w:val="121A44"/>
            </w:rPr>
            <w:t>8</w:t>
          </w:r>
          <w:r w:rsidRPr="00C23744">
            <w:rPr>
              <w:color w:val="121A44"/>
            </w:rPr>
            <w:fldChar w:fldCharType="end"/>
          </w:r>
        </w:p>
        <w:p w14:paraId="4E1AFE9F" w14:textId="77777777" w:rsidR="00BF02D1" w:rsidRPr="00C23744" w:rsidRDefault="00BF02D1">
          <w:pPr>
            <w:widowControl w:val="0"/>
            <w:tabs>
              <w:tab w:val="right" w:leader="underscore" w:pos="12000"/>
            </w:tabs>
            <w:spacing w:before="160" w:line="240" w:lineRule="auto"/>
            <w:ind w:left="360"/>
            <w:jc w:val="left"/>
            <w:rPr>
              <w:rFonts w:ascii="Lexend SemiBold" w:eastAsia="Lexend SemiBold" w:hAnsi="Lexend SemiBold" w:cs="Lexend SemiBold"/>
              <w:color w:val="121A44"/>
              <w:sz w:val="22"/>
              <w:szCs w:val="22"/>
            </w:rPr>
          </w:pPr>
          <w:hyperlink w:anchor="_heading=h.tyjcwt">
            <w:r w:rsidRPr="00C23744">
              <w:rPr>
                <w:rFonts w:ascii="Lexend SemiBold" w:eastAsia="Lexend SemiBold" w:hAnsi="Lexend SemiBold" w:cs="Lexend SemiBold"/>
                <w:color w:val="121A44"/>
              </w:rPr>
              <w:t>Nommer (adéquatement) les communautés</w:t>
            </w:r>
          </w:hyperlink>
          <w:hyperlink w:anchor="_heading=h.tyjcwt">
            <w:r w:rsidRPr="00C23744">
              <w:rPr>
                <w:color w:val="121A44"/>
              </w:rPr>
              <w:tab/>
            </w:r>
          </w:hyperlink>
          <w:r w:rsidRPr="00C23744">
            <w:rPr>
              <w:color w:val="121A44"/>
            </w:rPr>
            <w:fldChar w:fldCharType="begin"/>
          </w:r>
          <w:r w:rsidRPr="00C23744">
            <w:rPr>
              <w:color w:val="121A44"/>
            </w:rPr>
            <w:instrText xml:space="preserve"> PAGEREF _heading=h.tyjcwt \h </w:instrText>
          </w:r>
          <w:r w:rsidRPr="00C23744">
            <w:rPr>
              <w:color w:val="121A44"/>
            </w:rPr>
          </w:r>
          <w:r w:rsidRPr="00C23744">
            <w:rPr>
              <w:color w:val="121A44"/>
            </w:rPr>
            <w:fldChar w:fldCharType="separate"/>
          </w:r>
          <w:r w:rsidRPr="00C23744">
            <w:rPr>
              <w:rFonts w:ascii="Lexend SemiBold" w:eastAsia="Lexend SemiBold" w:hAnsi="Lexend SemiBold" w:cs="Lexend SemiBold"/>
              <w:color w:val="121A44"/>
            </w:rPr>
            <w:t>10</w:t>
          </w:r>
          <w:r w:rsidRPr="00C23744">
            <w:rPr>
              <w:color w:val="121A44"/>
            </w:rPr>
            <w:fldChar w:fldCharType="end"/>
          </w:r>
        </w:p>
        <w:p w14:paraId="4E1AFEA0" w14:textId="77777777" w:rsidR="00BF02D1" w:rsidRPr="00C23744" w:rsidRDefault="00BF02D1">
          <w:pPr>
            <w:widowControl w:val="0"/>
            <w:tabs>
              <w:tab w:val="right" w:leader="underscore" w:pos="12000"/>
            </w:tabs>
            <w:spacing w:before="160" w:line="240" w:lineRule="auto"/>
            <w:ind w:left="360"/>
            <w:jc w:val="left"/>
            <w:rPr>
              <w:rFonts w:ascii="Lexend SemiBold" w:eastAsia="Lexend SemiBold" w:hAnsi="Lexend SemiBold" w:cs="Lexend SemiBold"/>
              <w:color w:val="121A44"/>
              <w:sz w:val="22"/>
              <w:szCs w:val="22"/>
            </w:rPr>
          </w:pPr>
          <w:hyperlink w:anchor="_heading=h.17dp8vu">
            <w:r w:rsidRPr="00C23744">
              <w:rPr>
                <w:rFonts w:ascii="Lexend SemiBold" w:eastAsia="Lexend SemiBold" w:hAnsi="Lexend SemiBold" w:cs="Lexend SemiBold"/>
                <w:color w:val="121A44"/>
              </w:rPr>
              <w:t>En quoi consiste l’accessibilité ?</w:t>
            </w:r>
          </w:hyperlink>
          <w:hyperlink w:anchor="_heading=h.17dp8vu">
            <w:r w:rsidRPr="00C23744">
              <w:rPr>
                <w:color w:val="121A44"/>
              </w:rPr>
              <w:tab/>
            </w:r>
          </w:hyperlink>
          <w:r w:rsidRPr="00C23744">
            <w:rPr>
              <w:color w:val="121A44"/>
            </w:rPr>
            <w:fldChar w:fldCharType="begin"/>
          </w:r>
          <w:r w:rsidRPr="00C23744">
            <w:rPr>
              <w:color w:val="121A44"/>
            </w:rPr>
            <w:instrText xml:space="preserve"> PAGEREF _heading=h.17dp8vu \h </w:instrText>
          </w:r>
          <w:r w:rsidRPr="00C23744">
            <w:rPr>
              <w:color w:val="121A44"/>
            </w:rPr>
          </w:r>
          <w:r w:rsidRPr="00C23744">
            <w:rPr>
              <w:color w:val="121A44"/>
            </w:rPr>
            <w:fldChar w:fldCharType="separate"/>
          </w:r>
          <w:r w:rsidRPr="00C23744">
            <w:rPr>
              <w:rFonts w:ascii="Lexend SemiBold" w:eastAsia="Lexend SemiBold" w:hAnsi="Lexend SemiBold" w:cs="Lexend SemiBold"/>
              <w:color w:val="121A44"/>
            </w:rPr>
            <w:t>13</w:t>
          </w:r>
          <w:r w:rsidRPr="00C23744">
            <w:rPr>
              <w:color w:val="121A44"/>
            </w:rPr>
            <w:fldChar w:fldCharType="end"/>
          </w:r>
        </w:p>
        <w:p w14:paraId="4E1AFEA1" w14:textId="77777777" w:rsidR="00BF02D1" w:rsidRPr="00C23744" w:rsidRDefault="00BF02D1">
          <w:pPr>
            <w:widowControl w:val="0"/>
            <w:tabs>
              <w:tab w:val="right" w:leader="underscore" w:pos="12000"/>
            </w:tabs>
            <w:spacing w:before="160" w:line="240" w:lineRule="auto"/>
            <w:ind w:left="360"/>
            <w:jc w:val="left"/>
            <w:rPr>
              <w:rFonts w:ascii="Lexend SemiBold" w:eastAsia="Lexend SemiBold" w:hAnsi="Lexend SemiBold" w:cs="Lexend SemiBold"/>
              <w:color w:val="121A44"/>
              <w:sz w:val="22"/>
              <w:szCs w:val="22"/>
            </w:rPr>
          </w:pPr>
          <w:hyperlink w:anchor="_heading=h.35nkun2">
            <w:r w:rsidRPr="00C23744">
              <w:rPr>
                <w:rFonts w:ascii="Lexend SemiBold" w:eastAsia="Lexend SemiBold" w:hAnsi="Lexend SemiBold" w:cs="Lexend SemiBold"/>
                <w:color w:val="121A44"/>
              </w:rPr>
              <w:t>L’accessibilité créative</w:t>
            </w:r>
          </w:hyperlink>
          <w:hyperlink w:anchor="_heading=h.35nkun2">
            <w:r w:rsidRPr="00C23744">
              <w:rPr>
                <w:color w:val="121A44"/>
              </w:rPr>
              <w:tab/>
            </w:r>
          </w:hyperlink>
          <w:r w:rsidRPr="00C23744">
            <w:rPr>
              <w:color w:val="121A44"/>
            </w:rPr>
            <w:fldChar w:fldCharType="begin"/>
          </w:r>
          <w:r w:rsidRPr="00C23744">
            <w:rPr>
              <w:color w:val="121A44"/>
            </w:rPr>
            <w:instrText xml:space="preserve"> PAGEREF _heading=h.35nkun2 \h </w:instrText>
          </w:r>
          <w:r w:rsidRPr="00C23744">
            <w:rPr>
              <w:color w:val="121A44"/>
            </w:rPr>
          </w:r>
          <w:r w:rsidRPr="00C23744">
            <w:rPr>
              <w:color w:val="121A44"/>
            </w:rPr>
            <w:fldChar w:fldCharType="separate"/>
          </w:r>
          <w:r w:rsidRPr="00C23744">
            <w:rPr>
              <w:rFonts w:ascii="Lexend SemiBold" w:eastAsia="Lexend SemiBold" w:hAnsi="Lexend SemiBold" w:cs="Lexend SemiBold"/>
              <w:color w:val="121A44"/>
            </w:rPr>
            <w:t>17</w:t>
          </w:r>
          <w:r w:rsidRPr="00C23744">
            <w:rPr>
              <w:color w:val="121A44"/>
            </w:rPr>
            <w:fldChar w:fldCharType="end"/>
          </w:r>
        </w:p>
        <w:p w14:paraId="4E1AFEA2" w14:textId="77777777" w:rsidR="00BF02D1" w:rsidRPr="00C23744" w:rsidRDefault="00BF02D1">
          <w:pPr>
            <w:widowControl w:val="0"/>
            <w:tabs>
              <w:tab w:val="right" w:leader="underscore" w:pos="12000"/>
            </w:tabs>
            <w:spacing w:before="160" w:line="240" w:lineRule="auto"/>
            <w:ind w:left="360"/>
            <w:jc w:val="left"/>
            <w:rPr>
              <w:rFonts w:ascii="Lexend SemiBold" w:eastAsia="Lexend SemiBold" w:hAnsi="Lexend SemiBold" w:cs="Lexend SemiBold"/>
              <w:color w:val="121A44"/>
              <w:sz w:val="22"/>
              <w:szCs w:val="22"/>
            </w:rPr>
          </w:pPr>
          <w:hyperlink w:anchor="_heading=h.44sinio">
            <w:r w:rsidRPr="00C23744">
              <w:rPr>
                <w:rFonts w:ascii="Lexend SemiBold" w:eastAsia="Lexend SemiBold" w:hAnsi="Lexend SemiBold" w:cs="Lexend SemiBold"/>
                <w:color w:val="121A44"/>
              </w:rPr>
              <w:t>Concepts reliés à l’accessibilité créative</w:t>
            </w:r>
          </w:hyperlink>
          <w:hyperlink w:anchor="_heading=h.44sinio">
            <w:r w:rsidRPr="00C23744">
              <w:rPr>
                <w:color w:val="121A44"/>
              </w:rPr>
              <w:tab/>
            </w:r>
          </w:hyperlink>
          <w:r w:rsidRPr="00C23744">
            <w:rPr>
              <w:color w:val="121A44"/>
            </w:rPr>
            <w:fldChar w:fldCharType="begin"/>
          </w:r>
          <w:r w:rsidRPr="00C23744">
            <w:rPr>
              <w:color w:val="121A44"/>
            </w:rPr>
            <w:instrText xml:space="preserve"> PAGEREF _heading=h.44sinio \h </w:instrText>
          </w:r>
          <w:r w:rsidRPr="00C23744">
            <w:rPr>
              <w:color w:val="121A44"/>
            </w:rPr>
          </w:r>
          <w:r w:rsidRPr="00C23744">
            <w:rPr>
              <w:color w:val="121A44"/>
            </w:rPr>
            <w:fldChar w:fldCharType="separate"/>
          </w:r>
          <w:r w:rsidRPr="00C23744">
            <w:rPr>
              <w:rFonts w:ascii="Lexend SemiBold" w:eastAsia="Lexend SemiBold" w:hAnsi="Lexend SemiBold" w:cs="Lexend SemiBold"/>
              <w:color w:val="121A44"/>
            </w:rPr>
            <w:t>19</w:t>
          </w:r>
          <w:r w:rsidRPr="00C23744">
            <w:rPr>
              <w:color w:val="121A44"/>
            </w:rPr>
            <w:fldChar w:fldCharType="end"/>
          </w:r>
        </w:p>
        <w:p w14:paraId="4E1AFEA3" w14:textId="77777777" w:rsidR="00BF02D1" w:rsidRPr="00C23744" w:rsidRDefault="00BF02D1">
          <w:pPr>
            <w:widowControl w:val="0"/>
            <w:tabs>
              <w:tab w:val="right" w:leader="underscore" w:pos="12000"/>
            </w:tabs>
            <w:spacing w:before="160" w:line="240" w:lineRule="auto"/>
            <w:ind w:left="360"/>
            <w:jc w:val="left"/>
            <w:rPr>
              <w:rFonts w:ascii="Lexend SemiBold" w:eastAsia="Lexend SemiBold" w:hAnsi="Lexend SemiBold" w:cs="Lexend SemiBold"/>
              <w:color w:val="121A44"/>
              <w:sz w:val="22"/>
              <w:szCs w:val="22"/>
            </w:rPr>
          </w:pPr>
          <w:hyperlink w:anchor="_heading=h.2jxsxqh">
            <w:r w:rsidRPr="00C23744">
              <w:rPr>
                <w:rFonts w:ascii="Lexend SemiBold" w:eastAsia="Lexend SemiBold" w:hAnsi="Lexend SemiBold" w:cs="Lexend SemiBold"/>
                <w:color w:val="121A44"/>
              </w:rPr>
              <w:t>Pièges de l’accessibilité créative</w:t>
            </w:r>
          </w:hyperlink>
          <w:hyperlink w:anchor="_heading=h.2jxsxqh">
            <w:r w:rsidRPr="00C23744">
              <w:rPr>
                <w:color w:val="121A44"/>
              </w:rPr>
              <w:tab/>
            </w:r>
          </w:hyperlink>
          <w:r w:rsidRPr="00C23744">
            <w:rPr>
              <w:color w:val="121A44"/>
            </w:rPr>
            <w:fldChar w:fldCharType="begin"/>
          </w:r>
          <w:r w:rsidRPr="00C23744">
            <w:rPr>
              <w:color w:val="121A44"/>
            </w:rPr>
            <w:instrText xml:space="preserve"> PAGEREF _heading=h.2jxsxqh \h </w:instrText>
          </w:r>
          <w:r w:rsidRPr="00C23744">
            <w:rPr>
              <w:color w:val="121A44"/>
            </w:rPr>
          </w:r>
          <w:r w:rsidRPr="00C23744">
            <w:rPr>
              <w:color w:val="121A44"/>
            </w:rPr>
            <w:fldChar w:fldCharType="separate"/>
          </w:r>
          <w:r w:rsidRPr="00C23744">
            <w:rPr>
              <w:rFonts w:ascii="Lexend SemiBold" w:eastAsia="Lexend SemiBold" w:hAnsi="Lexend SemiBold" w:cs="Lexend SemiBold"/>
              <w:color w:val="121A44"/>
            </w:rPr>
            <w:t>22</w:t>
          </w:r>
          <w:r w:rsidRPr="00C23744">
            <w:rPr>
              <w:color w:val="121A44"/>
            </w:rPr>
            <w:fldChar w:fldCharType="end"/>
          </w:r>
        </w:p>
        <w:p w14:paraId="4E1AFEA4" w14:textId="77777777" w:rsidR="00BF02D1" w:rsidRPr="00C23744" w:rsidRDefault="00BF02D1">
          <w:pPr>
            <w:widowControl w:val="0"/>
            <w:tabs>
              <w:tab w:val="right" w:leader="underscore" w:pos="12000"/>
            </w:tabs>
            <w:spacing w:before="160" w:line="240" w:lineRule="auto"/>
            <w:ind w:left="360"/>
            <w:jc w:val="left"/>
            <w:rPr>
              <w:rFonts w:ascii="Lexend SemiBold" w:eastAsia="Lexend SemiBold" w:hAnsi="Lexend SemiBold" w:cs="Lexend SemiBold"/>
              <w:color w:val="121A44"/>
              <w:sz w:val="22"/>
              <w:szCs w:val="22"/>
            </w:rPr>
          </w:pPr>
          <w:hyperlink w:anchor="_heading=h.3j2qqm3">
            <w:r w:rsidRPr="00C23744">
              <w:rPr>
                <w:rFonts w:ascii="Lexend SemiBold" w:eastAsia="Lexend SemiBold" w:hAnsi="Lexend SemiBold" w:cs="Lexend SemiBold"/>
                <w:color w:val="121A44"/>
              </w:rPr>
              <w:t>Principes de l’accessibilité créative</w:t>
            </w:r>
          </w:hyperlink>
          <w:hyperlink w:anchor="_heading=h.3j2qqm3">
            <w:r w:rsidRPr="00C23744">
              <w:rPr>
                <w:color w:val="121A44"/>
              </w:rPr>
              <w:tab/>
            </w:r>
          </w:hyperlink>
          <w:r w:rsidRPr="00C23744">
            <w:rPr>
              <w:color w:val="121A44"/>
            </w:rPr>
            <w:fldChar w:fldCharType="begin"/>
          </w:r>
          <w:r w:rsidRPr="00C23744">
            <w:rPr>
              <w:color w:val="121A44"/>
            </w:rPr>
            <w:instrText xml:space="preserve"> PAGEREF _heading=h.3j2qqm3 \h </w:instrText>
          </w:r>
          <w:r w:rsidRPr="00C23744">
            <w:rPr>
              <w:color w:val="121A44"/>
            </w:rPr>
          </w:r>
          <w:r w:rsidRPr="00C23744">
            <w:rPr>
              <w:color w:val="121A44"/>
            </w:rPr>
            <w:fldChar w:fldCharType="separate"/>
          </w:r>
          <w:r w:rsidRPr="00C23744">
            <w:rPr>
              <w:rFonts w:ascii="Lexend SemiBold" w:eastAsia="Lexend SemiBold" w:hAnsi="Lexend SemiBold" w:cs="Lexend SemiBold"/>
              <w:color w:val="121A44"/>
            </w:rPr>
            <w:t>25</w:t>
          </w:r>
          <w:r w:rsidRPr="00C23744">
            <w:rPr>
              <w:color w:val="121A44"/>
            </w:rPr>
            <w:fldChar w:fldCharType="end"/>
          </w:r>
        </w:p>
        <w:p w14:paraId="4E1AFEA5" w14:textId="77777777" w:rsidR="00BF02D1" w:rsidRPr="00C23744" w:rsidRDefault="00BF02D1">
          <w:pPr>
            <w:widowControl w:val="0"/>
            <w:tabs>
              <w:tab w:val="right" w:leader="underscore" w:pos="12000"/>
            </w:tabs>
            <w:spacing w:before="160" w:line="240" w:lineRule="auto"/>
            <w:ind w:left="360"/>
            <w:jc w:val="left"/>
            <w:rPr>
              <w:rFonts w:ascii="Lexend SemiBold" w:eastAsia="Lexend SemiBold" w:hAnsi="Lexend SemiBold" w:cs="Lexend SemiBold"/>
              <w:color w:val="121A44"/>
              <w:sz w:val="22"/>
              <w:szCs w:val="22"/>
            </w:rPr>
          </w:pPr>
          <w:hyperlink w:anchor="_heading=h.1y810tw">
            <w:r w:rsidRPr="00C23744">
              <w:rPr>
                <w:rFonts w:ascii="Lexend SemiBold" w:eastAsia="Lexend SemiBold" w:hAnsi="Lexend SemiBold" w:cs="Lexend SemiBold"/>
                <w:color w:val="121A44"/>
              </w:rPr>
              <w:t>Étapes de l’accessibilité créative</w:t>
            </w:r>
          </w:hyperlink>
          <w:hyperlink w:anchor="_heading=h.1y810tw">
            <w:r w:rsidRPr="00C23744">
              <w:rPr>
                <w:color w:val="121A44"/>
              </w:rPr>
              <w:tab/>
            </w:r>
          </w:hyperlink>
          <w:r w:rsidRPr="00C23744">
            <w:rPr>
              <w:color w:val="121A44"/>
            </w:rPr>
            <w:fldChar w:fldCharType="begin"/>
          </w:r>
          <w:r w:rsidRPr="00C23744">
            <w:rPr>
              <w:color w:val="121A44"/>
            </w:rPr>
            <w:instrText xml:space="preserve"> PAGEREF _heading=h.1y810tw \h </w:instrText>
          </w:r>
          <w:r w:rsidRPr="00C23744">
            <w:rPr>
              <w:color w:val="121A44"/>
            </w:rPr>
          </w:r>
          <w:r w:rsidRPr="00C23744">
            <w:rPr>
              <w:color w:val="121A44"/>
            </w:rPr>
            <w:fldChar w:fldCharType="separate"/>
          </w:r>
          <w:r w:rsidRPr="00C23744">
            <w:rPr>
              <w:rFonts w:ascii="Lexend SemiBold" w:eastAsia="Lexend SemiBold" w:hAnsi="Lexend SemiBold" w:cs="Lexend SemiBold"/>
              <w:color w:val="121A44"/>
            </w:rPr>
            <w:t>27</w:t>
          </w:r>
          <w:r w:rsidRPr="00C23744">
            <w:rPr>
              <w:color w:val="121A44"/>
            </w:rPr>
            <w:fldChar w:fldCharType="end"/>
          </w:r>
        </w:p>
        <w:p w14:paraId="4E1AFEA6" w14:textId="77777777" w:rsidR="00BF02D1" w:rsidRPr="00C23744" w:rsidRDefault="00BF02D1">
          <w:pPr>
            <w:widowControl w:val="0"/>
            <w:tabs>
              <w:tab w:val="right" w:leader="underscore" w:pos="12000"/>
            </w:tabs>
            <w:spacing w:before="160" w:line="240" w:lineRule="auto"/>
            <w:ind w:left="360"/>
            <w:jc w:val="left"/>
            <w:rPr>
              <w:rFonts w:ascii="Lexend SemiBold" w:eastAsia="Lexend SemiBold" w:hAnsi="Lexend SemiBold" w:cs="Lexend SemiBold"/>
              <w:color w:val="121A44"/>
              <w:sz w:val="22"/>
              <w:szCs w:val="22"/>
            </w:rPr>
          </w:pPr>
          <w:hyperlink w:anchor="_heading=h.4i7ojhp">
            <w:r w:rsidRPr="00C23744">
              <w:rPr>
                <w:rFonts w:ascii="Lexend SemiBold" w:eastAsia="Lexend SemiBold" w:hAnsi="Lexend SemiBold" w:cs="Lexend SemiBold"/>
                <w:color w:val="121A44"/>
              </w:rPr>
              <w:t>Possibilités dramaturgiques de l’accessibilité</w:t>
            </w:r>
          </w:hyperlink>
          <w:hyperlink w:anchor="_heading=h.4i7ojhp">
            <w:r w:rsidRPr="00C23744">
              <w:rPr>
                <w:color w:val="121A44"/>
              </w:rPr>
              <w:tab/>
            </w:r>
          </w:hyperlink>
          <w:r w:rsidRPr="00C23744">
            <w:rPr>
              <w:color w:val="121A44"/>
            </w:rPr>
            <w:fldChar w:fldCharType="begin"/>
          </w:r>
          <w:r w:rsidRPr="00C23744">
            <w:rPr>
              <w:color w:val="121A44"/>
            </w:rPr>
            <w:instrText xml:space="preserve"> PAGEREF _heading=h.4i7ojhp \h </w:instrText>
          </w:r>
          <w:r w:rsidRPr="00C23744">
            <w:rPr>
              <w:color w:val="121A44"/>
            </w:rPr>
          </w:r>
          <w:r w:rsidRPr="00C23744">
            <w:rPr>
              <w:color w:val="121A44"/>
            </w:rPr>
            <w:fldChar w:fldCharType="separate"/>
          </w:r>
          <w:r w:rsidRPr="00C23744">
            <w:rPr>
              <w:rFonts w:ascii="Lexend SemiBold" w:eastAsia="Lexend SemiBold" w:hAnsi="Lexend SemiBold" w:cs="Lexend SemiBold"/>
              <w:color w:val="121A44"/>
            </w:rPr>
            <w:t>32</w:t>
          </w:r>
          <w:r w:rsidRPr="00C23744">
            <w:rPr>
              <w:color w:val="121A44"/>
            </w:rPr>
            <w:fldChar w:fldCharType="end"/>
          </w:r>
        </w:p>
        <w:p w14:paraId="4E1AFEA7" w14:textId="77777777" w:rsidR="00BF02D1" w:rsidRPr="00C23744" w:rsidRDefault="00BF02D1">
          <w:pPr>
            <w:widowControl w:val="0"/>
            <w:tabs>
              <w:tab w:val="right" w:leader="underscore" w:pos="12000"/>
            </w:tabs>
            <w:spacing w:before="160" w:line="240" w:lineRule="auto"/>
            <w:ind w:left="360"/>
            <w:jc w:val="left"/>
            <w:rPr>
              <w:rFonts w:ascii="Lexend SemiBold" w:eastAsia="Lexend SemiBold" w:hAnsi="Lexend SemiBold" w:cs="Lexend SemiBold"/>
              <w:color w:val="121A44"/>
              <w:sz w:val="22"/>
              <w:szCs w:val="22"/>
            </w:rPr>
          </w:pPr>
          <w:hyperlink w:anchor="_heading=h.ihv636">
            <w:r w:rsidRPr="00C23744">
              <w:rPr>
                <w:rFonts w:ascii="Lexend SemiBold" w:eastAsia="Lexend SemiBold" w:hAnsi="Lexend SemiBold" w:cs="Lexend SemiBold"/>
                <w:color w:val="121A44"/>
              </w:rPr>
              <w:t>Scènes à distance et parallèles</w:t>
            </w:r>
          </w:hyperlink>
          <w:hyperlink w:anchor="_heading=h.ihv636">
            <w:r w:rsidRPr="00C23744">
              <w:rPr>
                <w:color w:val="121A44"/>
              </w:rPr>
              <w:tab/>
            </w:r>
          </w:hyperlink>
          <w:r w:rsidRPr="00C23744">
            <w:rPr>
              <w:color w:val="121A44"/>
            </w:rPr>
            <w:fldChar w:fldCharType="begin"/>
          </w:r>
          <w:r w:rsidRPr="00C23744">
            <w:rPr>
              <w:color w:val="121A44"/>
            </w:rPr>
            <w:instrText xml:space="preserve"> PAGEREF _heading=h.ihv636 \h </w:instrText>
          </w:r>
          <w:r w:rsidRPr="00C23744">
            <w:rPr>
              <w:color w:val="121A44"/>
            </w:rPr>
          </w:r>
          <w:r w:rsidRPr="00C23744">
            <w:rPr>
              <w:color w:val="121A44"/>
            </w:rPr>
            <w:fldChar w:fldCharType="separate"/>
          </w:r>
          <w:r w:rsidRPr="00C23744">
            <w:rPr>
              <w:rFonts w:ascii="Lexend SemiBold" w:eastAsia="Lexend SemiBold" w:hAnsi="Lexend SemiBold" w:cs="Lexend SemiBold"/>
              <w:color w:val="121A44"/>
            </w:rPr>
            <w:t>38</w:t>
          </w:r>
          <w:r w:rsidRPr="00C23744">
            <w:rPr>
              <w:color w:val="121A44"/>
            </w:rPr>
            <w:fldChar w:fldCharType="end"/>
          </w:r>
        </w:p>
        <w:p w14:paraId="4E1AFEA8" w14:textId="77777777" w:rsidR="00BF02D1" w:rsidRPr="00C23744" w:rsidRDefault="00BF02D1">
          <w:pPr>
            <w:widowControl w:val="0"/>
            <w:tabs>
              <w:tab w:val="right" w:leader="underscore" w:pos="12000"/>
            </w:tabs>
            <w:spacing w:before="160" w:line="240" w:lineRule="auto"/>
            <w:ind w:left="360"/>
            <w:jc w:val="left"/>
            <w:rPr>
              <w:rFonts w:ascii="Lexend SemiBold" w:eastAsia="Lexend SemiBold" w:hAnsi="Lexend SemiBold" w:cs="Lexend SemiBold"/>
              <w:color w:val="121A44"/>
              <w:sz w:val="22"/>
              <w:szCs w:val="22"/>
            </w:rPr>
          </w:pPr>
          <w:hyperlink w:anchor="_heading=h.3fwokq0">
            <w:r w:rsidRPr="00C23744">
              <w:rPr>
                <w:rFonts w:ascii="Lexend SemiBold" w:eastAsia="Lexend SemiBold" w:hAnsi="Lexend SemiBold" w:cs="Lexend SemiBold"/>
                <w:color w:val="121A44"/>
              </w:rPr>
              <w:t>Bonnes pratiques en création</w:t>
            </w:r>
          </w:hyperlink>
          <w:hyperlink w:anchor="_heading=h.3fwokq0">
            <w:r w:rsidRPr="00C23744">
              <w:rPr>
                <w:color w:val="121A44"/>
              </w:rPr>
              <w:tab/>
            </w:r>
          </w:hyperlink>
          <w:r w:rsidRPr="00C23744">
            <w:rPr>
              <w:color w:val="121A44"/>
            </w:rPr>
            <w:fldChar w:fldCharType="begin"/>
          </w:r>
          <w:r w:rsidRPr="00C23744">
            <w:rPr>
              <w:color w:val="121A44"/>
            </w:rPr>
            <w:instrText xml:space="preserve"> PAGEREF _heading=h.3fwokq0 \h </w:instrText>
          </w:r>
          <w:r w:rsidRPr="00C23744">
            <w:rPr>
              <w:color w:val="121A44"/>
            </w:rPr>
          </w:r>
          <w:r w:rsidRPr="00C23744">
            <w:rPr>
              <w:color w:val="121A44"/>
            </w:rPr>
            <w:fldChar w:fldCharType="separate"/>
          </w:r>
          <w:r w:rsidRPr="00C23744">
            <w:rPr>
              <w:rFonts w:ascii="Lexend SemiBold" w:eastAsia="Lexend SemiBold" w:hAnsi="Lexend SemiBold" w:cs="Lexend SemiBold"/>
              <w:color w:val="121A44"/>
            </w:rPr>
            <w:t>43</w:t>
          </w:r>
          <w:r w:rsidRPr="00C23744">
            <w:rPr>
              <w:color w:val="121A44"/>
            </w:rPr>
            <w:fldChar w:fldCharType="end"/>
          </w:r>
        </w:p>
        <w:p w14:paraId="4E1AFEA9" w14:textId="77777777" w:rsidR="00BF02D1" w:rsidRPr="00C23744" w:rsidRDefault="00BF02D1">
          <w:pPr>
            <w:widowControl w:val="0"/>
            <w:tabs>
              <w:tab w:val="right" w:leader="underscore" w:pos="12000"/>
            </w:tabs>
            <w:spacing w:before="160" w:line="240" w:lineRule="auto"/>
            <w:ind w:left="360"/>
            <w:jc w:val="left"/>
            <w:rPr>
              <w:rFonts w:ascii="Lexend SemiBold" w:eastAsia="Lexend SemiBold" w:hAnsi="Lexend SemiBold" w:cs="Lexend SemiBold"/>
              <w:color w:val="121A44"/>
              <w:sz w:val="22"/>
              <w:szCs w:val="22"/>
            </w:rPr>
          </w:pPr>
          <w:hyperlink w:anchor="_heading=h.28h4qwu">
            <w:r w:rsidRPr="00C23744">
              <w:rPr>
                <w:rFonts w:ascii="Lexend SemiBold" w:eastAsia="Lexend SemiBold" w:hAnsi="Lexend SemiBold" w:cs="Lexend SemiBold"/>
                <w:color w:val="121A44"/>
              </w:rPr>
              <w:t>Bonnes pratiques en accessibilité pour le public</w:t>
            </w:r>
          </w:hyperlink>
          <w:hyperlink w:anchor="_heading=h.28h4qwu">
            <w:r w:rsidRPr="00C23744">
              <w:rPr>
                <w:color w:val="121A44"/>
              </w:rPr>
              <w:tab/>
            </w:r>
          </w:hyperlink>
          <w:r w:rsidRPr="00C23744">
            <w:rPr>
              <w:color w:val="121A44"/>
            </w:rPr>
            <w:fldChar w:fldCharType="begin"/>
          </w:r>
          <w:r w:rsidRPr="00C23744">
            <w:rPr>
              <w:color w:val="121A44"/>
            </w:rPr>
            <w:instrText xml:space="preserve"> PAGEREF _heading=h.28h4qwu \h </w:instrText>
          </w:r>
          <w:r w:rsidRPr="00C23744">
            <w:rPr>
              <w:color w:val="121A44"/>
            </w:rPr>
          </w:r>
          <w:r w:rsidRPr="00C23744">
            <w:rPr>
              <w:color w:val="121A44"/>
            </w:rPr>
            <w:fldChar w:fldCharType="separate"/>
          </w:r>
          <w:r w:rsidRPr="00C23744">
            <w:rPr>
              <w:rFonts w:ascii="Lexend SemiBold" w:eastAsia="Lexend SemiBold" w:hAnsi="Lexend SemiBold" w:cs="Lexend SemiBold"/>
              <w:color w:val="121A44"/>
            </w:rPr>
            <w:t>46</w:t>
          </w:r>
          <w:r w:rsidRPr="00C23744">
            <w:rPr>
              <w:color w:val="121A44"/>
            </w:rPr>
            <w:fldChar w:fldCharType="end"/>
          </w:r>
        </w:p>
        <w:p w14:paraId="4E1AFEAA" w14:textId="77777777" w:rsidR="00BF02D1" w:rsidRPr="00C23744" w:rsidRDefault="00BF02D1">
          <w:pPr>
            <w:widowControl w:val="0"/>
            <w:tabs>
              <w:tab w:val="right" w:leader="underscore" w:pos="12000"/>
            </w:tabs>
            <w:spacing w:before="160" w:line="240" w:lineRule="auto"/>
            <w:ind w:left="360"/>
            <w:jc w:val="left"/>
            <w:rPr>
              <w:rFonts w:ascii="Lexend SemiBold" w:eastAsia="Lexend SemiBold" w:hAnsi="Lexend SemiBold" w:cs="Lexend SemiBold"/>
              <w:color w:val="121A44"/>
              <w:sz w:val="22"/>
              <w:szCs w:val="22"/>
            </w:rPr>
          </w:pPr>
          <w:hyperlink w:anchor="_heading=h.3l18frh">
            <w:r w:rsidRPr="00C23744">
              <w:rPr>
                <w:rFonts w:ascii="Lexend SemiBold" w:eastAsia="Lexend SemiBold" w:hAnsi="Lexend SemiBold" w:cs="Lexend SemiBold"/>
                <w:color w:val="121A44"/>
              </w:rPr>
              <w:t>Notes sur les communications et l’accueil</w:t>
            </w:r>
          </w:hyperlink>
          <w:hyperlink w:anchor="_heading=h.3l18frh">
            <w:r w:rsidRPr="00C23744">
              <w:rPr>
                <w:color w:val="121A44"/>
              </w:rPr>
              <w:tab/>
            </w:r>
          </w:hyperlink>
          <w:r w:rsidRPr="00C23744">
            <w:rPr>
              <w:color w:val="121A44"/>
            </w:rPr>
            <w:fldChar w:fldCharType="begin"/>
          </w:r>
          <w:r w:rsidRPr="00C23744">
            <w:rPr>
              <w:color w:val="121A44"/>
            </w:rPr>
            <w:instrText xml:space="preserve"> PAGEREF _heading=h.3l18frh \h </w:instrText>
          </w:r>
          <w:r w:rsidRPr="00C23744">
            <w:rPr>
              <w:color w:val="121A44"/>
            </w:rPr>
          </w:r>
          <w:r w:rsidRPr="00C23744">
            <w:rPr>
              <w:color w:val="121A44"/>
            </w:rPr>
            <w:fldChar w:fldCharType="separate"/>
          </w:r>
          <w:r w:rsidRPr="00C23744">
            <w:rPr>
              <w:rFonts w:ascii="Lexend SemiBold" w:eastAsia="Lexend SemiBold" w:hAnsi="Lexend SemiBold" w:cs="Lexend SemiBold"/>
              <w:color w:val="121A44"/>
            </w:rPr>
            <w:t>50</w:t>
          </w:r>
          <w:r w:rsidRPr="00C23744">
            <w:rPr>
              <w:color w:val="121A44"/>
            </w:rPr>
            <w:fldChar w:fldCharType="end"/>
          </w:r>
        </w:p>
        <w:p w14:paraId="4E1AFEAB" w14:textId="77777777" w:rsidR="00BF02D1" w:rsidRPr="00C23744" w:rsidRDefault="00BF02D1">
          <w:pPr>
            <w:widowControl w:val="0"/>
            <w:tabs>
              <w:tab w:val="right" w:leader="underscore" w:pos="12000"/>
            </w:tabs>
            <w:spacing w:before="160" w:line="240" w:lineRule="auto"/>
            <w:ind w:left="360"/>
            <w:jc w:val="left"/>
            <w:rPr>
              <w:rFonts w:ascii="Lexend SemiBold" w:eastAsia="Lexend SemiBold" w:hAnsi="Lexend SemiBold" w:cs="Lexend SemiBold"/>
              <w:color w:val="121A44"/>
              <w:sz w:val="22"/>
              <w:szCs w:val="22"/>
            </w:rPr>
          </w:pPr>
          <w:hyperlink w:anchor="_heading=h.206ipza">
            <w:r w:rsidRPr="00C23744">
              <w:rPr>
                <w:rFonts w:ascii="Lexend SemiBold" w:eastAsia="Lexend SemiBold" w:hAnsi="Lexend SemiBold" w:cs="Lexend SemiBold"/>
                <w:color w:val="121A44"/>
              </w:rPr>
              <w:t>Financement en accessibilité culturelle</w:t>
            </w:r>
          </w:hyperlink>
          <w:hyperlink w:anchor="_heading=h.206ipza">
            <w:r w:rsidRPr="00C23744">
              <w:rPr>
                <w:color w:val="121A44"/>
              </w:rPr>
              <w:tab/>
            </w:r>
          </w:hyperlink>
          <w:r w:rsidRPr="00C23744">
            <w:rPr>
              <w:color w:val="121A44"/>
            </w:rPr>
            <w:fldChar w:fldCharType="begin"/>
          </w:r>
          <w:r w:rsidRPr="00C23744">
            <w:rPr>
              <w:color w:val="121A44"/>
            </w:rPr>
            <w:instrText xml:space="preserve"> PAGEREF _heading=h.206ipza \h </w:instrText>
          </w:r>
          <w:r w:rsidRPr="00C23744">
            <w:rPr>
              <w:color w:val="121A44"/>
            </w:rPr>
          </w:r>
          <w:r w:rsidRPr="00C23744">
            <w:rPr>
              <w:color w:val="121A44"/>
            </w:rPr>
            <w:fldChar w:fldCharType="separate"/>
          </w:r>
          <w:r w:rsidRPr="00C23744">
            <w:rPr>
              <w:rFonts w:ascii="Lexend SemiBold" w:eastAsia="Lexend SemiBold" w:hAnsi="Lexend SemiBold" w:cs="Lexend SemiBold"/>
              <w:color w:val="121A44"/>
            </w:rPr>
            <w:t>53</w:t>
          </w:r>
          <w:r w:rsidRPr="00C23744">
            <w:rPr>
              <w:color w:val="121A44"/>
            </w:rPr>
            <w:fldChar w:fldCharType="end"/>
          </w:r>
        </w:p>
        <w:p w14:paraId="4E1AFEAC" w14:textId="77777777" w:rsidR="00BF02D1" w:rsidRPr="00C23744" w:rsidRDefault="00BF02D1">
          <w:pPr>
            <w:widowControl w:val="0"/>
            <w:tabs>
              <w:tab w:val="right" w:leader="underscore" w:pos="12000"/>
            </w:tabs>
            <w:spacing w:before="160" w:line="240" w:lineRule="auto"/>
            <w:ind w:left="360"/>
            <w:jc w:val="left"/>
            <w:rPr>
              <w:rFonts w:ascii="Lexend SemiBold" w:eastAsia="Lexend SemiBold" w:hAnsi="Lexend SemiBold" w:cs="Lexend SemiBold"/>
              <w:color w:val="121A44"/>
              <w:sz w:val="22"/>
              <w:szCs w:val="22"/>
            </w:rPr>
          </w:pPr>
          <w:hyperlink w:anchor="_heading=h.1egqt2p">
            <w:r w:rsidRPr="00C23744">
              <w:rPr>
                <w:rFonts w:ascii="Lexend SemiBold" w:eastAsia="Lexend SemiBold" w:hAnsi="Lexend SemiBold" w:cs="Lexend SemiBold"/>
                <w:color w:val="121A44"/>
              </w:rPr>
              <w:t>En résumé</w:t>
            </w:r>
          </w:hyperlink>
          <w:hyperlink w:anchor="_heading=h.1egqt2p">
            <w:r w:rsidRPr="00C23744">
              <w:rPr>
                <w:color w:val="121A44"/>
              </w:rPr>
              <w:tab/>
            </w:r>
          </w:hyperlink>
          <w:r w:rsidRPr="00C23744">
            <w:rPr>
              <w:color w:val="121A44"/>
            </w:rPr>
            <w:fldChar w:fldCharType="begin"/>
          </w:r>
          <w:r w:rsidRPr="00C23744">
            <w:rPr>
              <w:color w:val="121A44"/>
            </w:rPr>
            <w:instrText xml:space="preserve"> PAGEREF _heading=h.1egqt2p \h </w:instrText>
          </w:r>
          <w:r w:rsidRPr="00C23744">
            <w:rPr>
              <w:color w:val="121A44"/>
            </w:rPr>
          </w:r>
          <w:r w:rsidRPr="00C23744">
            <w:rPr>
              <w:color w:val="121A44"/>
            </w:rPr>
            <w:fldChar w:fldCharType="separate"/>
          </w:r>
          <w:r w:rsidRPr="00C23744">
            <w:rPr>
              <w:rFonts w:ascii="Lexend SemiBold" w:eastAsia="Lexend SemiBold" w:hAnsi="Lexend SemiBold" w:cs="Lexend SemiBold"/>
              <w:color w:val="121A44"/>
            </w:rPr>
            <w:t>56</w:t>
          </w:r>
          <w:r w:rsidRPr="00C23744">
            <w:rPr>
              <w:color w:val="121A44"/>
            </w:rPr>
            <w:fldChar w:fldCharType="end"/>
          </w:r>
        </w:p>
        <w:p w14:paraId="4E1AFEAD" w14:textId="77777777" w:rsidR="00BF02D1" w:rsidRPr="00C23744" w:rsidRDefault="00BF02D1">
          <w:pPr>
            <w:widowControl w:val="0"/>
            <w:tabs>
              <w:tab w:val="right" w:leader="underscore" w:pos="12000"/>
            </w:tabs>
            <w:spacing w:before="160" w:line="240" w:lineRule="auto"/>
            <w:ind w:left="360"/>
            <w:jc w:val="left"/>
            <w:rPr>
              <w:rFonts w:ascii="Lexend SemiBold" w:eastAsia="Lexend SemiBold" w:hAnsi="Lexend SemiBold" w:cs="Lexend SemiBold"/>
              <w:color w:val="121A44"/>
              <w:sz w:val="22"/>
              <w:szCs w:val="22"/>
            </w:rPr>
          </w:pPr>
          <w:hyperlink w:anchor="_heading=h.3ygebqi">
            <w:r w:rsidRPr="00C23744">
              <w:rPr>
                <w:rFonts w:ascii="Lexend SemiBold" w:eastAsia="Lexend SemiBold" w:hAnsi="Lexend SemiBold" w:cs="Lexend SemiBold"/>
                <w:color w:val="121A44"/>
              </w:rPr>
              <w:t>Conclusion</w:t>
            </w:r>
          </w:hyperlink>
          <w:hyperlink w:anchor="_heading=h.3ygebqi">
            <w:r w:rsidRPr="00C23744">
              <w:rPr>
                <w:color w:val="121A44"/>
              </w:rPr>
              <w:tab/>
            </w:r>
          </w:hyperlink>
          <w:r w:rsidRPr="00C23744">
            <w:rPr>
              <w:color w:val="121A44"/>
            </w:rPr>
            <w:fldChar w:fldCharType="begin"/>
          </w:r>
          <w:r w:rsidRPr="00C23744">
            <w:rPr>
              <w:color w:val="121A44"/>
            </w:rPr>
            <w:instrText xml:space="preserve"> PAGEREF _heading=h.3ygebqi \h </w:instrText>
          </w:r>
          <w:r w:rsidRPr="00C23744">
            <w:rPr>
              <w:color w:val="121A44"/>
            </w:rPr>
          </w:r>
          <w:r w:rsidRPr="00C23744">
            <w:rPr>
              <w:color w:val="121A44"/>
            </w:rPr>
            <w:fldChar w:fldCharType="separate"/>
          </w:r>
          <w:r w:rsidRPr="00C23744">
            <w:rPr>
              <w:rFonts w:ascii="Lexend SemiBold" w:eastAsia="Lexend SemiBold" w:hAnsi="Lexend SemiBold" w:cs="Lexend SemiBold"/>
              <w:color w:val="121A44"/>
            </w:rPr>
            <w:t>57</w:t>
          </w:r>
          <w:r w:rsidRPr="00C23744">
            <w:rPr>
              <w:color w:val="121A44"/>
            </w:rPr>
            <w:fldChar w:fldCharType="end"/>
          </w:r>
        </w:p>
        <w:p w14:paraId="4E1AFEAE" w14:textId="77777777" w:rsidR="00BF02D1" w:rsidRPr="00C23744" w:rsidRDefault="00BF02D1">
          <w:pPr>
            <w:widowControl w:val="0"/>
            <w:tabs>
              <w:tab w:val="right" w:leader="underscore" w:pos="12000"/>
            </w:tabs>
            <w:spacing w:before="160" w:line="240" w:lineRule="auto"/>
            <w:ind w:left="360"/>
            <w:jc w:val="left"/>
            <w:rPr>
              <w:rFonts w:ascii="Lexend SemiBold" w:eastAsia="Lexend SemiBold" w:hAnsi="Lexend SemiBold" w:cs="Lexend SemiBold"/>
              <w:color w:val="121A44"/>
              <w:sz w:val="22"/>
              <w:szCs w:val="22"/>
            </w:rPr>
          </w:pPr>
          <w:hyperlink w:anchor="_heading=h.2dlolyb">
            <w:r w:rsidRPr="00C23744">
              <w:rPr>
                <w:rFonts w:ascii="Lexend SemiBold" w:eastAsia="Lexend SemiBold" w:hAnsi="Lexend SemiBold" w:cs="Lexend SemiBold"/>
                <w:color w:val="121A44"/>
              </w:rPr>
              <w:t>Sur les autrices</w:t>
            </w:r>
          </w:hyperlink>
          <w:hyperlink w:anchor="_heading=h.2dlolyb">
            <w:r w:rsidRPr="00C23744">
              <w:rPr>
                <w:color w:val="121A44"/>
              </w:rPr>
              <w:tab/>
            </w:r>
          </w:hyperlink>
          <w:r w:rsidRPr="00C23744">
            <w:rPr>
              <w:color w:val="121A44"/>
            </w:rPr>
            <w:fldChar w:fldCharType="begin"/>
          </w:r>
          <w:r w:rsidRPr="00C23744">
            <w:rPr>
              <w:color w:val="121A44"/>
            </w:rPr>
            <w:instrText xml:space="preserve"> PAGEREF _heading=h.2dlolyb \h </w:instrText>
          </w:r>
          <w:r w:rsidRPr="00C23744">
            <w:rPr>
              <w:color w:val="121A44"/>
            </w:rPr>
          </w:r>
          <w:r w:rsidRPr="00C23744">
            <w:rPr>
              <w:color w:val="121A44"/>
            </w:rPr>
            <w:fldChar w:fldCharType="separate"/>
          </w:r>
          <w:r w:rsidRPr="00C23744">
            <w:rPr>
              <w:rFonts w:ascii="Lexend SemiBold" w:eastAsia="Lexend SemiBold" w:hAnsi="Lexend SemiBold" w:cs="Lexend SemiBold"/>
              <w:color w:val="121A44"/>
            </w:rPr>
            <w:t>58</w:t>
          </w:r>
          <w:r w:rsidRPr="00C23744">
            <w:rPr>
              <w:color w:val="121A44"/>
            </w:rPr>
            <w:fldChar w:fldCharType="end"/>
          </w:r>
        </w:p>
        <w:p w14:paraId="4E1AFEAF" w14:textId="77777777" w:rsidR="00BF02D1" w:rsidRPr="00C23744" w:rsidRDefault="00BF02D1">
          <w:pPr>
            <w:widowControl w:val="0"/>
            <w:tabs>
              <w:tab w:val="right" w:leader="underscore" w:pos="12000"/>
            </w:tabs>
            <w:spacing w:before="160" w:line="240" w:lineRule="auto"/>
            <w:ind w:left="360"/>
            <w:jc w:val="left"/>
            <w:rPr>
              <w:rFonts w:ascii="Lexend SemiBold" w:eastAsia="Lexend SemiBold" w:hAnsi="Lexend SemiBold" w:cs="Lexend SemiBold"/>
              <w:color w:val="121A44"/>
              <w:sz w:val="22"/>
              <w:szCs w:val="22"/>
            </w:rPr>
          </w:pPr>
          <w:hyperlink w:anchor="_heading=h.1rvwp1q">
            <w:r w:rsidRPr="00C23744">
              <w:rPr>
                <w:rFonts w:ascii="Lexend SemiBold" w:eastAsia="Lexend SemiBold" w:hAnsi="Lexend SemiBold" w:cs="Lexend SemiBold"/>
                <w:color w:val="121A44"/>
              </w:rPr>
              <w:t>Sur Théâtre Déchaînés</w:t>
            </w:r>
          </w:hyperlink>
          <w:hyperlink w:anchor="_heading=h.1rvwp1q">
            <w:r w:rsidRPr="00C23744">
              <w:rPr>
                <w:color w:val="121A44"/>
              </w:rPr>
              <w:tab/>
            </w:r>
          </w:hyperlink>
          <w:r w:rsidRPr="00C23744">
            <w:rPr>
              <w:color w:val="121A44"/>
            </w:rPr>
            <w:fldChar w:fldCharType="begin"/>
          </w:r>
          <w:r w:rsidRPr="00C23744">
            <w:rPr>
              <w:color w:val="121A44"/>
            </w:rPr>
            <w:instrText xml:space="preserve"> PAGEREF _heading=h.1rvwp1q \h </w:instrText>
          </w:r>
          <w:r w:rsidRPr="00C23744">
            <w:rPr>
              <w:color w:val="121A44"/>
            </w:rPr>
          </w:r>
          <w:r w:rsidRPr="00C23744">
            <w:rPr>
              <w:color w:val="121A44"/>
            </w:rPr>
            <w:fldChar w:fldCharType="separate"/>
          </w:r>
          <w:r w:rsidRPr="00C23744">
            <w:rPr>
              <w:rFonts w:ascii="Lexend SemiBold" w:eastAsia="Lexend SemiBold" w:hAnsi="Lexend SemiBold" w:cs="Lexend SemiBold"/>
              <w:color w:val="121A44"/>
            </w:rPr>
            <w:t>59</w:t>
          </w:r>
          <w:r w:rsidRPr="00C23744">
            <w:rPr>
              <w:color w:val="121A44"/>
            </w:rPr>
            <w:fldChar w:fldCharType="end"/>
          </w:r>
        </w:p>
        <w:p w14:paraId="4E1AFEB0" w14:textId="77777777" w:rsidR="00BF02D1" w:rsidRPr="00C23744" w:rsidRDefault="00BF02D1">
          <w:pPr>
            <w:widowControl w:val="0"/>
            <w:tabs>
              <w:tab w:val="right" w:leader="underscore" w:pos="12000"/>
            </w:tabs>
            <w:spacing w:before="160" w:line="240" w:lineRule="auto"/>
            <w:ind w:left="360"/>
            <w:jc w:val="left"/>
            <w:rPr>
              <w:rFonts w:ascii="Lexend SemiBold" w:eastAsia="Lexend SemiBold" w:hAnsi="Lexend SemiBold" w:cs="Lexend SemiBold"/>
              <w:color w:val="121A44"/>
              <w:sz w:val="22"/>
              <w:szCs w:val="22"/>
            </w:rPr>
          </w:pPr>
          <w:hyperlink w:anchor="_heading=h.4bvk7pj">
            <w:r w:rsidRPr="00C23744">
              <w:rPr>
                <w:rFonts w:ascii="Lexend SemiBold" w:eastAsia="Lexend SemiBold" w:hAnsi="Lexend SemiBold" w:cs="Lexend SemiBold"/>
                <w:color w:val="121A44"/>
              </w:rPr>
              <w:t>Bibliographie</w:t>
            </w:r>
          </w:hyperlink>
          <w:hyperlink w:anchor="_heading=h.4bvk7pj">
            <w:r w:rsidRPr="00C23744">
              <w:rPr>
                <w:color w:val="121A44"/>
              </w:rPr>
              <w:tab/>
            </w:r>
          </w:hyperlink>
          <w:r w:rsidRPr="00C23744">
            <w:rPr>
              <w:color w:val="121A44"/>
            </w:rPr>
            <w:fldChar w:fldCharType="begin"/>
          </w:r>
          <w:r w:rsidRPr="00C23744">
            <w:rPr>
              <w:color w:val="121A44"/>
            </w:rPr>
            <w:instrText xml:space="preserve"> PAGEREF _heading=h.4bvk7pj \h </w:instrText>
          </w:r>
          <w:r w:rsidRPr="00C23744">
            <w:rPr>
              <w:color w:val="121A44"/>
            </w:rPr>
          </w:r>
          <w:r w:rsidRPr="00C23744">
            <w:rPr>
              <w:color w:val="121A44"/>
            </w:rPr>
            <w:fldChar w:fldCharType="separate"/>
          </w:r>
          <w:r w:rsidRPr="00C23744">
            <w:rPr>
              <w:rFonts w:ascii="Lexend SemiBold" w:eastAsia="Lexend SemiBold" w:hAnsi="Lexend SemiBold" w:cs="Lexend SemiBold"/>
              <w:color w:val="121A44"/>
            </w:rPr>
            <w:t>60</w:t>
          </w:r>
          <w:r w:rsidRPr="00C23744">
            <w:rPr>
              <w:color w:val="121A44"/>
            </w:rPr>
            <w:fldChar w:fldCharType="end"/>
          </w:r>
        </w:p>
        <w:p w14:paraId="4E1AFEB1" w14:textId="77777777" w:rsidR="00BF02D1" w:rsidRPr="00C23744" w:rsidRDefault="00BF02D1">
          <w:pPr>
            <w:widowControl w:val="0"/>
            <w:tabs>
              <w:tab w:val="right" w:leader="underscore" w:pos="12000"/>
            </w:tabs>
            <w:spacing w:before="160" w:line="240" w:lineRule="auto"/>
            <w:ind w:left="360"/>
            <w:jc w:val="left"/>
            <w:rPr>
              <w:rFonts w:ascii="Lexend SemiBold" w:eastAsia="Lexend SemiBold" w:hAnsi="Lexend SemiBold" w:cs="Lexend SemiBold"/>
              <w:color w:val="121A44"/>
              <w:sz w:val="22"/>
              <w:szCs w:val="22"/>
            </w:rPr>
          </w:pPr>
          <w:hyperlink w:anchor="_heading=h.2r0uhxc">
            <w:r w:rsidRPr="00C23744">
              <w:rPr>
                <w:rFonts w:ascii="Lexend SemiBold" w:eastAsia="Lexend SemiBold" w:hAnsi="Lexend SemiBold" w:cs="Lexend SemiBold"/>
                <w:color w:val="121A44"/>
              </w:rPr>
              <w:t>ANNEXE 1 - Concepts associés</w:t>
            </w:r>
          </w:hyperlink>
          <w:hyperlink w:anchor="_heading=h.2r0uhxc">
            <w:r w:rsidRPr="00C23744">
              <w:rPr>
                <w:color w:val="121A44"/>
              </w:rPr>
              <w:tab/>
            </w:r>
          </w:hyperlink>
          <w:r w:rsidRPr="00C23744">
            <w:rPr>
              <w:color w:val="121A44"/>
            </w:rPr>
            <w:fldChar w:fldCharType="begin"/>
          </w:r>
          <w:r w:rsidRPr="00C23744">
            <w:rPr>
              <w:color w:val="121A44"/>
            </w:rPr>
            <w:instrText xml:space="preserve"> PAGEREF _heading=h.2r0uhxc \h </w:instrText>
          </w:r>
          <w:r w:rsidRPr="00C23744">
            <w:rPr>
              <w:color w:val="121A44"/>
            </w:rPr>
          </w:r>
          <w:r w:rsidRPr="00C23744">
            <w:rPr>
              <w:color w:val="121A44"/>
            </w:rPr>
            <w:fldChar w:fldCharType="separate"/>
          </w:r>
          <w:r w:rsidRPr="00C23744">
            <w:rPr>
              <w:rFonts w:ascii="Lexend SemiBold" w:eastAsia="Lexend SemiBold" w:hAnsi="Lexend SemiBold" w:cs="Lexend SemiBold"/>
              <w:color w:val="121A44"/>
            </w:rPr>
            <w:t>62</w:t>
          </w:r>
          <w:r w:rsidRPr="00C23744">
            <w:rPr>
              <w:color w:val="121A44"/>
            </w:rPr>
            <w:fldChar w:fldCharType="end"/>
          </w:r>
        </w:p>
        <w:p w14:paraId="4E1AFEB2" w14:textId="77777777" w:rsidR="00BF02D1" w:rsidRPr="00C23744" w:rsidRDefault="00BF02D1">
          <w:pPr>
            <w:widowControl w:val="0"/>
            <w:tabs>
              <w:tab w:val="right" w:leader="underscore" w:pos="12000"/>
            </w:tabs>
            <w:spacing w:before="160" w:line="240" w:lineRule="auto"/>
            <w:ind w:left="360"/>
            <w:jc w:val="left"/>
            <w:rPr>
              <w:rFonts w:ascii="Lexend SemiBold" w:eastAsia="Lexend SemiBold" w:hAnsi="Lexend SemiBold" w:cs="Lexend SemiBold"/>
              <w:color w:val="121A44"/>
              <w:sz w:val="22"/>
              <w:szCs w:val="22"/>
            </w:rPr>
          </w:pPr>
          <w:hyperlink w:anchor="_heading=h.1664s55">
            <w:r w:rsidRPr="00C23744">
              <w:rPr>
                <w:rFonts w:ascii="Lexend SemiBold" w:eastAsia="Lexend SemiBold" w:hAnsi="Lexend SemiBold" w:cs="Lexend SemiBold"/>
                <w:color w:val="121A44"/>
              </w:rPr>
              <w:t>ANNEXE 2 - Devis d’accessibilité</w:t>
            </w:r>
          </w:hyperlink>
          <w:hyperlink w:anchor="_heading=h.1664s55">
            <w:r w:rsidRPr="00C23744">
              <w:rPr>
                <w:color w:val="121A44"/>
              </w:rPr>
              <w:tab/>
            </w:r>
          </w:hyperlink>
          <w:r w:rsidRPr="00C23744">
            <w:rPr>
              <w:color w:val="121A44"/>
            </w:rPr>
            <w:fldChar w:fldCharType="begin"/>
          </w:r>
          <w:r w:rsidRPr="00C23744">
            <w:rPr>
              <w:color w:val="121A44"/>
            </w:rPr>
            <w:instrText xml:space="preserve"> PAGEREF _heading=h.1664s55 \h </w:instrText>
          </w:r>
          <w:r w:rsidRPr="00C23744">
            <w:rPr>
              <w:color w:val="121A44"/>
            </w:rPr>
          </w:r>
          <w:r w:rsidRPr="00C23744">
            <w:rPr>
              <w:color w:val="121A44"/>
            </w:rPr>
            <w:fldChar w:fldCharType="separate"/>
          </w:r>
          <w:r w:rsidRPr="00C23744">
            <w:rPr>
              <w:rFonts w:ascii="Lexend SemiBold" w:eastAsia="Lexend SemiBold" w:hAnsi="Lexend SemiBold" w:cs="Lexend SemiBold"/>
              <w:color w:val="121A44"/>
            </w:rPr>
            <w:t>64</w:t>
          </w:r>
          <w:r w:rsidRPr="00C23744">
            <w:rPr>
              <w:color w:val="121A44"/>
            </w:rPr>
            <w:fldChar w:fldCharType="end"/>
          </w:r>
        </w:p>
        <w:p w14:paraId="4E1AFEB3" w14:textId="77777777" w:rsidR="00BF02D1" w:rsidRPr="00C23744" w:rsidRDefault="00BF02D1">
          <w:pPr>
            <w:widowControl w:val="0"/>
            <w:tabs>
              <w:tab w:val="right" w:leader="underscore" w:pos="12000"/>
            </w:tabs>
            <w:spacing w:before="160" w:line="240" w:lineRule="auto"/>
            <w:ind w:left="360"/>
            <w:jc w:val="left"/>
            <w:rPr>
              <w:rFonts w:ascii="Lexend SemiBold" w:eastAsia="Lexend SemiBold" w:hAnsi="Lexend SemiBold" w:cs="Lexend SemiBold"/>
              <w:color w:val="121A44"/>
              <w:sz w:val="22"/>
              <w:szCs w:val="22"/>
            </w:rPr>
          </w:pPr>
          <w:hyperlink w:anchor="_heading=h.25b2l0r">
            <w:r w:rsidRPr="00C23744">
              <w:rPr>
                <w:rFonts w:ascii="Lexend SemiBold" w:eastAsia="Lexend SemiBold" w:hAnsi="Lexend SemiBold" w:cs="Lexend SemiBold"/>
                <w:color w:val="121A44"/>
              </w:rPr>
              <w:t>ANNEXE 3 - Schéma d’accessibilité</w:t>
            </w:r>
          </w:hyperlink>
          <w:hyperlink w:anchor="_heading=h.25b2l0r">
            <w:r w:rsidRPr="00C23744">
              <w:rPr>
                <w:color w:val="121A44"/>
              </w:rPr>
              <w:tab/>
            </w:r>
          </w:hyperlink>
          <w:r w:rsidRPr="00C23744">
            <w:rPr>
              <w:color w:val="121A44"/>
            </w:rPr>
            <w:fldChar w:fldCharType="begin"/>
          </w:r>
          <w:r w:rsidRPr="00C23744">
            <w:rPr>
              <w:color w:val="121A44"/>
            </w:rPr>
            <w:instrText xml:space="preserve"> PAGEREF _heading=h.25b2l0r \h </w:instrText>
          </w:r>
          <w:r w:rsidRPr="00C23744">
            <w:rPr>
              <w:color w:val="121A44"/>
            </w:rPr>
          </w:r>
          <w:r w:rsidRPr="00C23744">
            <w:rPr>
              <w:color w:val="121A44"/>
            </w:rPr>
            <w:fldChar w:fldCharType="separate"/>
          </w:r>
          <w:r w:rsidRPr="00C23744">
            <w:rPr>
              <w:rFonts w:ascii="Lexend SemiBold" w:eastAsia="Lexend SemiBold" w:hAnsi="Lexend SemiBold" w:cs="Lexend SemiBold"/>
              <w:color w:val="121A44"/>
            </w:rPr>
            <w:t>66</w:t>
          </w:r>
          <w:r w:rsidRPr="00C23744">
            <w:rPr>
              <w:color w:val="121A44"/>
            </w:rPr>
            <w:fldChar w:fldCharType="end"/>
          </w:r>
        </w:p>
        <w:p w14:paraId="4E1AFEB4" w14:textId="77777777" w:rsidR="00BF02D1" w:rsidRPr="00C23744" w:rsidRDefault="00BF02D1">
          <w:pPr>
            <w:widowControl w:val="0"/>
            <w:tabs>
              <w:tab w:val="right" w:leader="underscore" w:pos="12000"/>
            </w:tabs>
            <w:spacing w:before="160" w:line="240" w:lineRule="auto"/>
            <w:ind w:left="360"/>
            <w:jc w:val="left"/>
            <w:rPr>
              <w:rFonts w:ascii="Lexend Medium" w:eastAsia="Lexend Medium" w:hAnsi="Lexend Medium" w:cs="Lexend Medium"/>
              <w:color w:val="121A44"/>
              <w:sz w:val="22"/>
              <w:szCs w:val="22"/>
            </w:rPr>
          </w:pPr>
          <w:hyperlink w:anchor="_heading=h.kgcv8k">
            <w:r w:rsidRPr="00C23744">
              <w:rPr>
                <w:rFonts w:ascii="Lexend SemiBold" w:eastAsia="Lexend SemiBold" w:hAnsi="Lexend SemiBold" w:cs="Lexend SemiBold"/>
                <w:color w:val="121A44"/>
              </w:rPr>
              <w:t>Et ensuite ?</w:t>
            </w:r>
          </w:hyperlink>
          <w:hyperlink w:anchor="_heading=h.kgcv8k">
            <w:r w:rsidRPr="00C23744">
              <w:rPr>
                <w:color w:val="121A44"/>
              </w:rPr>
              <w:tab/>
            </w:r>
          </w:hyperlink>
          <w:r w:rsidRPr="00C23744">
            <w:rPr>
              <w:color w:val="121A44"/>
            </w:rPr>
            <w:fldChar w:fldCharType="begin"/>
          </w:r>
          <w:r w:rsidRPr="00C23744">
            <w:rPr>
              <w:color w:val="121A44"/>
            </w:rPr>
            <w:instrText xml:space="preserve"> PAGEREF _heading=h.kgcv8k \h </w:instrText>
          </w:r>
          <w:r w:rsidRPr="00C23744">
            <w:rPr>
              <w:color w:val="121A44"/>
            </w:rPr>
          </w:r>
          <w:r w:rsidRPr="00C23744">
            <w:rPr>
              <w:color w:val="121A44"/>
            </w:rPr>
            <w:fldChar w:fldCharType="separate"/>
          </w:r>
          <w:r w:rsidRPr="00C23744">
            <w:rPr>
              <w:rFonts w:ascii="Lexend Medium" w:eastAsia="Lexend Medium" w:hAnsi="Lexend Medium" w:cs="Lexend Medium"/>
              <w:color w:val="121A44"/>
            </w:rPr>
            <w:t>67</w:t>
          </w:r>
          <w:r w:rsidRPr="00C23744">
            <w:rPr>
              <w:color w:val="121A44"/>
            </w:rPr>
            <w:fldChar w:fldCharType="end"/>
          </w:r>
          <w:r w:rsidRPr="00C23744">
            <w:rPr>
              <w:color w:val="121A44"/>
            </w:rPr>
            <w:fldChar w:fldCharType="end"/>
          </w:r>
        </w:p>
      </w:sdtContent>
    </w:sdt>
    <w:p w14:paraId="4E1AFEB5" w14:textId="77777777" w:rsidR="00BF02D1" w:rsidRDefault="00000000">
      <w:pPr>
        <w:pStyle w:val="Titre2"/>
        <w:ind w:right="360"/>
      </w:pPr>
      <w:bookmarkStart w:id="3" w:name="_Introduction"/>
      <w:bookmarkEnd w:id="3"/>
      <w:r>
        <w:rPr>
          <w:noProof/>
        </w:rPr>
        <w:lastRenderedPageBreak/>
        <w:drawing>
          <wp:anchor distT="0" distB="0" distL="0" distR="0" simplePos="0" relativeHeight="251665408" behindDoc="1" locked="0" layoutInCell="1" hidden="0" allowOverlap="1" wp14:anchorId="4E1B0109" wp14:editId="5CDDAE01">
            <wp:simplePos x="0" y="0"/>
            <wp:positionH relativeFrom="page">
              <wp:posOffset>4826000</wp:posOffset>
            </wp:positionH>
            <wp:positionV relativeFrom="page">
              <wp:posOffset>693257</wp:posOffset>
            </wp:positionV>
            <wp:extent cx="4492869" cy="600075"/>
            <wp:effectExtent l="0" t="0" r="3175" b="0"/>
            <wp:wrapNone/>
            <wp:docPr id="130602835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492869" cy="600075"/>
                    </a:xfrm>
                    <a:prstGeom prst="rect">
                      <a:avLst/>
                    </a:prstGeom>
                    <a:ln/>
                  </pic:spPr>
                </pic:pic>
              </a:graphicData>
            </a:graphic>
          </wp:anchor>
        </w:drawing>
      </w:r>
      <w:r>
        <w:t>Introduction</w:t>
      </w:r>
    </w:p>
    <w:p w14:paraId="4E1AFEB6" w14:textId="77777777" w:rsidR="00BF02D1" w:rsidRPr="00C23744" w:rsidRDefault="00000000">
      <w:pPr>
        <w:widowControl w:val="0"/>
        <w:spacing w:before="1000"/>
        <w:jc w:val="left"/>
        <w:rPr>
          <w:color w:val="121A44"/>
        </w:rPr>
      </w:pPr>
      <w:r w:rsidRPr="00C23744">
        <w:rPr>
          <w:color w:val="121A44"/>
        </w:rPr>
        <w:t xml:space="preserve">Chères lectrices et chers lecteurs, </w:t>
      </w:r>
    </w:p>
    <w:p w14:paraId="4E1AFEB7" w14:textId="77777777" w:rsidR="00BF02D1" w:rsidRPr="00C23744" w:rsidRDefault="00000000">
      <w:pPr>
        <w:widowControl w:val="0"/>
        <w:spacing w:before="400"/>
        <w:jc w:val="left"/>
        <w:rPr>
          <w:color w:val="121A44"/>
        </w:rPr>
      </w:pPr>
      <w:r w:rsidRPr="00C23744">
        <w:rPr>
          <w:color w:val="121A44"/>
        </w:rPr>
        <w:t xml:space="preserve">Nous sommes immensément heureuses de partager avec vous nos réflexions et nos recherches des dernières années sur l’accessibilité créative et l’inclusion des spectatrices et spectateurs en arts vivants. Notre plus grand objectif en écrivant ces pages est d’ouvrir le dialogue avec toute personne s’intéressant à l’accessibilité en culture, et particulièrement en arts vivants. </w:t>
      </w:r>
    </w:p>
    <w:p w14:paraId="4E1AFEB8" w14:textId="77777777" w:rsidR="00BF02D1" w:rsidRPr="00C23744" w:rsidRDefault="00000000">
      <w:pPr>
        <w:widowControl w:val="0"/>
        <w:spacing w:before="400"/>
        <w:jc w:val="left"/>
        <w:rPr>
          <w:color w:val="121A44"/>
        </w:rPr>
      </w:pPr>
      <w:r w:rsidRPr="00C23744">
        <w:rPr>
          <w:color w:val="121A44"/>
        </w:rPr>
        <w:t>Il est important pour nous de partager le travail accompli afin d’épauler un plus large bassin de créatrices et créateurs qui désirent se lancer dans cette aventure.</w:t>
      </w:r>
    </w:p>
    <w:p w14:paraId="4E1AFEB9" w14:textId="77777777" w:rsidR="00BF02D1" w:rsidRDefault="00000000">
      <w:pPr>
        <w:widowControl w:val="0"/>
        <w:spacing w:before="400"/>
        <w:jc w:val="left"/>
        <w:rPr>
          <w:color w:val="131A45"/>
        </w:rPr>
      </w:pPr>
      <w:r w:rsidRPr="00C23744">
        <w:rPr>
          <w:color w:val="121A44"/>
        </w:rPr>
        <w:t>Au cours des dernières années</w:t>
      </w:r>
      <w:r>
        <w:rPr>
          <w:color w:val="131A45"/>
        </w:rPr>
        <w:t>, nos réflexions se sont transformées et ont évolué. Nous avons construit ce document à partir :</w:t>
      </w:r>
    </w:p>
    <w:p w14:paraId="4E1AFEBA" w14:textId="77777777" w:rsidR="00BF02D1" w:rsidRDefault="00000000">
      <w:pPr>
        <w:widowControl w:val="0"/>
        <w:numPr>
          <w:ilvl w:val="0"/>
          <w:numId w:val="8"/>
        </w:numPr>
        <w:jc w:val="left"/>
      </w:pPr>
      <w:r>
        <w:rPr>
          <w:color w:val="131A45"/>
        </w:rPr>
        <w:t>De recherches durant nos processus créatifs et nos laboratoires</w:t>
      </w:r>
    </w:p>
    <w:p w14:paraId="4E1AFEBB" w14:textId="77777777" w:rsidR="00BF02D1" w:rsidRDefault="00000000">
      <w:pPr>
        <w:widowControl w:val="0"/>
        <w:numPr>
          <w:ilvl w:val="0"/>
          <w:numId w:val="8"/>
        </w:numPr>
        <w:jc w:val="left"/>
      </w:pPr>
      <w:r>
        <w:rPr>
          <w:color w:val="131A45"/>
        </w:rPr>
        <w:t>D’incalculables heures de lecture</w:t>
      </w:r>
    </w:p>
    <w:p w14:paraId="4E1AFEBC" w14:textId="77777777" w:rsidR="00BF02D1" w:rsidRDefault="00000000">
      <w:pPr>
        <w:widowControl w:val="0"/>
        <w:numPr>
          <w:ilvl w:val="0"/>
          <w:numId w:val="8"/>
        </w:numPr>
        <w:jc w:val="left"/>
      </w:pPr>
      <w:r>
        <w:rPr>
          <w:color w:val="131A45"/>
        </w:rPr>
        <w:t>De discussions avec des artistes, des consultantes et consultants, des membres de diverses communautés et des groupes de recherche</w:t>
      </w:r>
    </w:p>
    <w:p w14:paraId="4E1AFEBD" w14:textId="77777777" w:rsidR="00BF02D1" w:rsidRDefault="00000000">
      <w:pPr>
        <w:widowControl w:val="0"/>
        <w:numPr>
          <w:ilvl w:val="0"/>
          <w:numId w:val="8"/>
        </w:numPr>
        <w:jc w:val="left"/>
      </w:pPr>
      <w:r>
        <w:rPr>
          <w:color w:val="131A45"/>
        </w:rPr>
        <w:t>D’expériences rencontrées sur notre chemin avec les spectatrices et les spectateurs dans le cadre de de projets artistiques et de résidences</w:t>
      </w:r>
    </w:p>
    <w:p w14:paraId="4E1AFEBE" w14:textId="77777777" w:rsidR="00BF02D1" w:rsidRDefault="00000000">
      <w:pPr>
        <w:widowControl w:val="0"/>
        <w:numPr>
          <w:ilvl w:val="0"/>
          <w:numId w:val="8"/>
        </w:numPr>
        <w:jc w:val="left"/>
      </w:pPr>
      <w:r>
        <w:rPr>
          <w:color w:val="131A45"/>
        </w:rPr>
        <w:t>De sondages transmis via nos divers médias sociaux et à travers nos partenaires de recherche</w:t>
      </w:r>
    </w:p>
    <w:p w14:paraId="4E1AFEBF" w14:textId="77777777" w:rsidR="00BF02D1" w:rsidRDefault="00000000">
      <w:pPr>
        <w:widowControl w:val="0"/>
        <w:spacing w:before="520"/>
        <w:jc w:val="left"/>
        <w:rPr>
          <w:color w:val="131A45"/>
        </w:rPr>
      </w:pPr>
      <w:r>
        <w:rPr>
          <w:color w:val="131A45"/>
        </w:rPr>
        <w:t>Ce que l’on souhaite transmettre avec ce guide de réflexion est :</w:t>
      </w:r>
    </w:p>
    <w:p w14:paraId="4E1AFEC0" w14:textId="77777777" w:rsidR="00BF02D1" w:rsidRDefault="00000000">
      <w:pPr>
        <w:widowControl w:val="0"/>
        <w:numPr>
          <w:ilvl w:val="0"/>
          <w:numId w:val="72"/>
        </w:numPr>
        <w:jc w:val="left"/>
      </w:pPr>
      <w:r>
        <w:rPr>
          <w:color w:val="131A45"/>
        </w:rPr>
        <w:t xml:space="preserve">Un désir de faire des spectacles d’arts vivants plus accessibles </w:t>
      </w:r>
    </w:p>
    <w:p w14:paraId="4E1AFEC1" w14:textId="77777777" w:rsidR="00BF02D1" w:rsidRDefault="00000000">
      <w:pPr>
        <w:widowControl w:val="0"/>
        <w:numPr>
          <w:ilvl w:val="0"/>
          <w:numId w:val="72"/>
        </w:numPr>
        <w:jc w:val="left"/>
      </w:pPr>
      <w:r>
        <w:rPr>
          <w:color w:val="131A45"/>
        </w:rPr>
        <w:t xml:space="preserve">Des remises en question sur les processus actuels et une redéfinition des scènes </w:t>
      </w:r>
      <w:r>
        <w:rPr>
          <w:color w:val="131A45"/>
        </w:rPr>
        <w:lastRenderedPageBreak/>
        <w:t>actuelles</w:t>
      </w:r>
    </w:p>
    <w:p w14:paraId="4E1AFEC2" w14:textId="77777777" w:rsidR="00BF02D1" w:rsidRDefault="00000000">
      <w:pPr>
        <w:widowControl w:val="0"/>
        <w:numPr>
          <w:ilvl w:val="0"/>
          <w:numId w:val="72"/>
        </w:numPr>
        <w:jc w:val="left"/>
      </w:pPr>
      <w:r>
        <w:rPr>
          <w:color w:val="131A45"/>
        </w:rPr>
        <w:t>Des réflexions sur l’accessibilité créative et des pistes d’inspiration pour vos propres cheminements</w:t>
      </w:r>
    </w:p>
    <w:p w14:paraId="4E1AFEC3" w14:textId="77777777" w:rsidR="00BF02D1" w:rsidRDefault="00000000">
      <w:pPr>
        <w:widowControl w:val="0"/>
        <w:numPr>
          <w:ilvl w:val="0"/>
          <w:numId w:val="72"/>
        </w:numPr>
        <w:jc w:val="left"/>
      </w:pPr>
      <w:r>
        <w:rPr>
          <w:color w:val="131A45"/>
        </w:rPr>
        <w:t>Une volonté de créer une communauté plus forte, qui travaille ensemble vers l’objectif des arts vivants plus accessibles</w:t>
      </w:r>
    </w:p>
    <w:p w14:paraId="4E1AFEC4" w14:textId="77777777" w:rsidR="00BF02D1" w:rsidRDefault="00000000">
      <w:pPr>
        <w:widowControl w:val="0"/>
        <w:numPr>
          <w:ilvl w:val="0"/>
          <w:numId w:val="72"/>
        </w:numPr>
        <w:jc w:val="left"/>
      </w:pPr>
      <w:r>
        <w:rPr>
          <w:color w:val="131A45"/>
        </w:rPr>
        <w:t xml:space="preserve">Un outil pouvant devenir un véritable partenaire dans vos propres créations </w:t>
      </w:r>
    </w:p>
    <w:p w14:paraId="4E1AFEC5" w14:textId="77777777" w:rsidR="00BF02D1" w:rsidRDefault="00000000">
      <w:pPr>
        <w:widowControl w:val="0"/>
        <w:spacing w:before="520"/>
        <w:jc w:val="left"/>
        <w:rPr>
          <w:color w:val="131A45"/>
        </w:rPr>
      </w:pPr>
      <w:r>
        <w:rPr>
          <w:color w:val="131A45"/>
        </w:rPr>
        <w:t xml:space="preserve">Cependant, les textes qui suivront ne sont pas : </w:t>
      </w:r>
    </w:p>
    <w:p w14:paraId="4E1AFEC6" w14:textId="77777777" w:rsidR="00BF02D1" w:rsidRDefault="00000000">
      <w:pPr>
        <w:widowControl w:val="0"/>
        <w:numPr>
          <w:ilvl w:val="0"/>
          <w:numId w:val="45"/>
        </w:numPr>
        <w:jc w:val="left"/>
      </w:pPr>
      <w:r>
        <w:rPr>
          <w:color w:val="131A45"/>
        </w:rPr>
        <w:t xml:space="preserve">Ciblés sur l'accueil des artistes dits de la diversité fonctionnelle dans les processus créatifs  </w:t>
      </w:r>
    </w:p>
    <w:p w14:paraId="4E1AFEC7" w14:textId="77777777" w:rsidR="00BF02D1" w:rsidRDefault="00000000">
      <w:pPr>
        <w:numPr>
          <w:ilvl w:val="1"/>
          <w:numId w:val="45"/>
        </w:numPr>
      </w:pPr>
      <w:r>
        <w:rPr>
          <w:color w:val="131A45"/>
        </w:rPr>
        <w:t xml:space="preserve">Assurer cet accueil dans les créations est primordial et se doit d’être considéré conjointement avec l’accessibilité en salle. Cependant, pour ne pas s’éparpiller et parce que c’est un sujet distinct, nous ne nous focaliserons pas sur l'intégration des artistes dits de la diversité fonctionnelle dans les créations. </w:t>
      </w:r>
    </w:p>
    <w:p w14:paraId="4E1AFEC8" w14:textId="77777777" w:rsidR="00BF02D1" w:rsidRDefault="00000000">
      <w:pPr>
        <w:widowControl w:val="0"/>
        <w:numPr>
          <w:ilvl w:val="0"/>
          <w:numId w:val="45"/>
        </w:numPr>
        <w:spacing w:before="400"/>
        <w:jc w:val="left"/>
      </w:pPr>
      <w:r>
        <w:rPr>
          <w:color w:val="131A45"/>
        </w:rPr>
        <w:t xml:space="preserve">Portés sur les autres éléments essentiels à un accueil accessible adéquat, tels que les normes d’accessibilité de lieu ou dans les communications </w:t>
      </w:r>
    </w:p>
    <w:p w14:paraId="4E1AFEC9" w14:textId="77777777" w:rsidR="00BF02D1" w:rsidRDefault="00000000">
      <w:pPr>
        <w:widowControl w:val="0"/>
        <w:numPr>
          <w:ilvl w:val="1"/>
          <w:numId w:val="45"/>
        </w:numPr>
        <w:spacing w:before="120"/>
        <w:jc w:val="left"/>
      </w:pPr>
      <w:r>
        <w:rPr>
          <w:color w:val="131A45"/>
        </w:rPr>
        <w:t xml:space="preserve">Nous nous concentrerons principalement sur l’ajout d’éléments d’accessibilité au cœur même de la création artistique. Nous mentionnons toutefois des ressources et offrons quelques pistes de soutien sur le sujet. </w:t>
      </w:r>
    </w:p>
    <w:p w14:paraId="4E1AFECA" w14:textId="77777777" w:rsidR="00BF02D1" w:rsidRDefault="00000000">
      <w:pPr>
        <w:widowControl w:val="0"/>
        <w:spacing w:before="400"/>
        <w:jc w:val="left"/>
        <w:rPr>
          <w:color w:val="131A45"/>
        </w:rPr>
      </w:pPr>
      <w:r>
        <w:rPr>
          <w:color w:val="131A45"/>
        </w:rPr>
        <w:t xml:space="preserve">Surtout, les conseils présentés dans ce document ne constituent pas un modèle rigide, et ne présentent pas une vérité absolue quant aux façons de faire les choses. </w:t>
      </w:r>
    </w:p>
    <w:p w14:paraId="4E1AFECB" w14:textId="77777777" w:rsidR="00BF02D1" w:rsidRDefault="00000000">
      <w:pPr>
        <w:widowControl w:val="0"/>
        <w:jc w:val="left"/>
        <w:rPr>
          <w:color w:val="131A45"/>
        </w:rPr>
      </w:pPr>
      <w:r>
        <w:rPr>
          <w:color w:val="131A45"/>
        </w:rPr>
        <w:t>Il s’agit plutôt :</w:t>
      </w:r>
    </w:p>
    <w:p w14:paraId="4E1AFECC" w14:textId="77777777" w:rsidR="00BF02D1" w:rsidRDefault="00000000">
      <w:pPr>
        <w:widowControl w:val="0"/>
        <w:numPr>
          <w:ilvl w:val="0"/>
          <w:numId w:val="76"/>
        </w:numPr>
        <w:jc w:val="left"/>
        <w:rPr>
          <w:color w:val="131A45"/>
        </w:rPr>
      </w:pPr>
      <w:r>
        <w:rPr>
          <w:color w:val="131A45"/>
        </w:rPr>
        <w:t>D’un point de départ</w:t>
      </w:r>
    </w:p>
    <w:p w14:paraId="4E1AFECD" w14:textId="77777777" w:rsidR="00BF02D1" w:rsidRDefault="00000000">
      <w:pPr>
        <w:widowControl w:val="0"/>
        <w:numPr>
          <w:ilvl w:val="0"/>
          <w:numId w:val="76"/>
        </w:numPr>
        <w:jc w:val="left"/>
        <w:rPr>
          <w:color w:val="131A45"/>
        </w:rPr>
      </w:pPr>
      <w:r>
        <w:rPr>
          <w:color w:val="131A45"/>
        </w:rPr>
        <w:t xml:space="preserve">D’une ressource à consulter </w:t>
      </w:r>
    </w:p>
    <w:p w14:paraId="4E1AFECE" w14:textId="77777777" w:rsidR="00BF02D1" w:rsidRDefault="00000000">
      <w:pPr>
        <w:widowControl w:val="0"/>
        <w:numPr>
          <w:ilvl w:val="0"/>
          <w:numId w:val="76"/>
        </w:numPr>
        <w:jc w:val="left"/>
        <w:rPr>
          <w:color w:val="131A45"/>
        </w:rPr>
      </w:pPr>
      <w:r>
        <w:rPr>
          <w:color w:val="131A45"/>
        </w:rPr>
        <w:lastRenderedPageBreak/>
        <w:t xml:space="preserve">D’un outil d’entraide </w:t>
      </w:r>
    </w:p>
    <w:p w14:paraId="4E1AFECF" w14:textId="77777777" w:rsidR="00BF02D1" w:rsidRDefault="00000000">
      <w:pPr>
        <w:widowControl w:val="0"/>
        <w:spacing w:before="400"/>
        <w:jc w:val="left"/>
        <w:rPr>
          <w:color w:val="131A45"/>
        </w:rPr>
      </w:pPr>
      <w:r>
        <w:rPr>
          <w:color w:val="131A45"/>
        </w:rPr>
        <w:t xml:space="preserve">Si cette introduction à l’accessibilité contient des pistes de solution, nous ne prétendons pas qu’elles s’adapteront nécessairement à votre situation. Nous sommes conscientes que chaque personne a son individualité, que chaque accueil de spectateurs et spectatrices </w:t>
      </w:r>
      <w:proofErr w:type="gramStart"/>
      <w:r>
        <w:rPr>
          <w:color w:val="131A45"/>
        </w:rPr>
        <w:t>a</w:t>
      </w:r>
      <w:proofErr w:type="gramEnd"/>
      <w:r>
        <w:rPr>
          <w:color w:val="131A45"/>
        </w:rPr>
        <w:t xml:space="preserve"> ses particularités, que chaque artiste a ses désirs et sa vision artistique. Il est donc difficile, voire impossible, de convenir à toutes les situations. </w:t>
      </w:r>
    </w:p>
    <w:p w14:paraId="4E1AFED0" w14:textId="77777777" w:rsidR="00BF02D1" w:rsidRDefault="00000000">
      <w:pPr>
        <w:widowControl w:val="0"/>
        <w:spacing w:before="400"/>
        <w:jc w:val="left"/>
        <w:rPr>
          <w:color w:val="131A45"/>
        </w:rPr>
      </w:pPr>
      <w:r>
        <w:rPr>
          <w:color w:val="131A45"/>
        </w:rPr>
        <w:t xml:space="preserve">C’est une richesse pour nos salles et notre art de pouvoir accueillir de nouveaux publics. L’accessibilité est parfois boudée par les artistes, car elle est souvent vue comme un élément à inclure en fin de parcours pour une ou deux représentations, qui demande de revoir et de réajuster des choix esthétiques. Plutôt que de voir l’accessibilité comme une contrainte, nous invitons les artistes à se servir de ces réalités de création comme des sources d’inspiration, comme des tremplins pour élever leurs </w:t>
      </w:r>
      <w:r>
        <w:rPr>
          <w:color w:val="223654"/>
        </w:rPr>
        <w:t>œ</w:t>
      </w:r>
      <w:r>
        <w:rPr>
          <w:color w:val="131A45"/>
        </w:rPr>
        <w:t xml:space="preserve">uvres à un autre niveau. </w:t>
      </w:r>
    </w:p>
    <w:p w14:paraId="4E1AFED1" w14:textId="77777777" w:rsidR="00BF02D1" w:rsidRDefault="00000000">
      <w:pPr>
        <w:widowControl w:val="0"/>
        <w:spacing w:before="400"/>
        <w:jc w:val="left"/>
        <w:rPr>
          <w:color w:val="131A45"/>
        </w:rPr>
      </w:pPr>
      <w:r>
        <w:rPr>
          <w:color w:val="131A45"/>
        </w:rPr>
        <w:t xml:space="preserve">Renversons l’exclusion des personnes dites de la diversité fonctionnelle ou marginalisées, en prenant en considération leurs besoins dès le début du processus créatif. Les changements ne vont pas s’opérer du jour au lendemain, mais si nous sommes nombreuses et nombreux à les adopter et à intégrer l’accessibilité à nos processus, nous aurons la possibilité d’offrir des saisons culturelles diversifiées et s’adressant à tous les publics, sans laisser personne de côté. </w:t>
      </w:r>
    </w:p>
    <w:p w14:paraId="4E1AFED2" w14:textId="77777777" w:rsidR="00BF02D1" w:rsidRDefault="00000000">
      <w:pPr>
        <w:widowControl w:val="0"/>
        <w:spacing w:before="400"/>
        <w:jc w:val="left"/>
        <w:rPr>
          <w:color w:val="131A45"/>
        </w:rPr>
      </w:pPr>
      <w:r>
        <w:rPr>
          <w:color w:val="131A45"/>
        </w:rPr>
        <w:t>Cet outil que nous vous proposons ici se construit autour de plusieurs sujets écrits sous le format de la liste d’éléments clés, afin que les informations restent le plus clair et efficace possible. Il peut être lu dans l’ordre des pages, mais vous pouvez aussi sauter directement aux sujets qui vous intéressent, sans perdre pour autant la continuité de votre lecture.</w:t>
      </w:r>
    </w:p>
    <w:p w14:paraId="4E1AFED3" w14:textId="77777777" w:rsidR="00BF02D1" w:rsidRDefault="00000000">
      <w:pPr>
        <w:widowControl w:val="0"/>
        <w:spacing w:before="400"/>
        <w:jc w:val="left"/>
        <w:rPr>
          <w:color w:val="131A45"/>
        </w:rPr>
      </w:pPr>
      <w:r>
        <w:rPr>
          <w:color w:val="131A45"/>
        </w:rPr>
        <w:t>Alors, chères lectrices et chers lecteurs, bonne lecture !</w:t>
      </w:r>
    </w:p>
    <w:p w14:paraId="4E1AFED4" w14:textId="77777777" w:rsidR="00BF02D1" w:rsidRDefault="00000000">
      <w:pPr>
        <w:widowControl w:val="0"/>
        <w:spacing w:before="400"/>
        <w:jc w:val="left"/>
        <w:rPr>
          <w:color w:val="131A45"/>
        </w:rPr>
      </w:pPr>
      <w:r>
        <w:rPr>
          <w:color w:val="131A45"/>
        </w:rPr>
        <w:t xml:space="preserve">Nous vous souhaitons beaucoup de plaisir à expérimenter dans vos processus d’accessibilité créative. </w:t>
      </w:r>
    </w:p>
    <w:p w14:paraId="4E1AFED5" w14:textId="34281781" w:rsidR="00BF02D1" w:rsidRDefault="00C23744">
      <w:pPr>
        <w:pStyle w:val="Titre2"/>
        <w:spacing w:before="1200"/>
        <w:ind w:right="360"/>
      </w:pPr>
      <w:bookmarkStart w:id="4" w:name="_heading=h.3znysh7" w:colFirst="0" w:colLast="0"/>
      <w:bookmarkEnd w:id="4"/>
      <w:r>
        <w:rPr>
          <w:noProof/>
        </w:rPr>
        <w:lastRenderedPageBreak/>
        <w:drawing>
          <wp:anchor distT="0" distB="0" distL="0" distR="0" simplePos="0" relativeHeight="251666432" behindDoc="1" locked="0" layoutInCell="1" hidden="0" allowOverlap="1" wp14:anchorId="4E1B010B" wp14:editId="5ACFFA15">
            <wp:simplePos x="0" y="0"/>
            <wp:positionH relativeFrom="page">
              <wp:posOffset>2997200</wp:posOffset>
            </wp:positionH>
            <wp:positionV relativeFrom="page">
              <wp:posOffset>692313</wp:posOffset>
            </wp:positionV>
            <wp:extent cx="4492625" cy="600075"/>
            <wp:effectExtent l="0" t="0" r="3175" b="0"/>
            <wp:wrapNone/>
            <wp:docPr id="130602839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492625" cy="600075"/>
                    </a:xfrm>
                    <a:prstGeom prst="rect">
                      <a:avLst/>
                    </a:prstGeom>
                    <a:ln/>
                  </pic:spPr>
                </pic:pic>
              </a:graphicData>
            </a:graphic>
          </wp:anchor>
        </w:drawing>
      </w:r>
      <w:r>
        <w:rPr>
          <w:noProof/>
        </w:rPr>
        <w:drawing>
          <wp:anchor distT="0" distB="0" distL="0" distR="0" simplePos="0" relativeHeight="251667456" behindDoc="1" locked="0" layoutInCell="1" hidden="0" allowOverlap="1" wp14:anchorId="4E1B010D" wp14:editId="011A9026">
            <wp:simplePos x="0" y="0"/>
            <wp:positionH relativeFrom="page">
              <wp:posOffset>4744085</wp:posOffset>
            </wp:positionH>
            <wp:positionV relativeFrom="page">
              <wp:posOffset>692313</wp:posOffset>
            </wp:positionV>
            <wp:extent cx="4492625" cy="600075"/>
            <wp:effectExtent l="0" t="0" r="3175" b="0"/>
            <wp:wrapNone/>
            <wp:docPr id="13060283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492625" cy="600075"/>
                    </a:xfrm>
                    <a:prstGeom prst="rect">
                      <a:avLst/>
                    </a:prstGeom>
                    <a:ln/>
                  </pic:spPr>
                </pic:pic>
              </a:graphicData>
            </a:graphic>
          </wp:anchor>
        </w:drawing>
      </w:r>
      <w:r>
        <w:t>Glossaire des concepts de base</w:t>
      </w:r>
    </w:p>
    <w:p w14:paraId="4E1AFED6" w14:textId="77777777" w:rsidR="00BF02D1" w:rsidRDefault="00000000">
      <w:pPr>
        <w:widowControl w:val="0"/>
        <w:spacing w:before="1000"/>
        <w:jc w:val="left"/>
        <w:rPr>
          <w:color w:val="131A45"/>
        </w:rPr>
      </w:pPr>
      <w:r>
        <w:rPr>
          <w:color w:val="131A45"/>
        </w:rPr>
        <w:t xml:space="preserve">Voici une liste de certains concepts de base auxquels nous référerons tout au long de ce document ou qui sont particulièrement importants à comprendre d’emblée. </w:t>
      </w:r>
    </w:p>
    <w:p w14:paraId="4E1AFED7" w14:textId="77777777" w:rsidR="00BF02D1" w:rsidRDefault="00000000">
      <w:pPr>
        <w:widowControl w:val="0"/>
        <w:spacing w:before="400"/>
        <w:jc w:val="left"/>
        <w:rPr>
          <w:color w:val="131A45"/>
        </w:rPr>
      </w:pPr>
      <w:r>
        <w:rPr>
          <w:color w:val="131A45"/>
        </w:rPr>
        <w:t>Nous n’aborderons pas ici les définitions d’équité, de diversité, d’égalité ou des diverses situations de handicap qui existent, car plusieurs outils exhaustifs et ressources existent déjà pour se renseigner adéquatement sur ces sujets.</w:t>
      </w:r>
    </w:p>
    <w:p w14:paraId="4E1AFED8" w14:textId="77777777" w:rsidR="00BF02D1" w:rsidRDefault="00000000">
      <w:pPr>
        <w:widowControl w:val="0"/>
        <w:spacing w:before="400"/>
        <w:jc w:val="left"/>
        <w:rPr>
          <w:color w:val="131A45"/>
        </w:rPr>
      </w:pPr>
      <w:r>
        <w:rPr>
          <w:color w:val="131A45"/>
        </w:rPr>
        <w:t xml:space="preserve">Nous avons regroupé plusieurs de ces ressources dans une liste sur notre site </w:t>
      </w:r>
      <w:hyperlink r:id="rId15">
        <w:r w:rsidR="00BF02D1">
          <w:rPr>
            <w:i/>
            <w:color w:val="131A45"/>
            <w:u w:val="single"/>
          </w:rPr>
          <w:t>www.theatredechaines.com/ressources</w:t>
        </w:r>
      </w:hyperlink>
      <w:r>
        <w:rPr>
          <w:color w:val="131A45"/>
        </w:rPr>
        <w:t>.</w:t>
      </w:r>
    </w:p>
    <w:p w14:paraId="4E1AFED9" w14:textId="77777777" w:rsidR="00BF02D1" w:rsidRDefault="00000000">
      <w:pPr>
        <w:widowControl w:val="0"/>
        <w:spacing w:before="600"/>
        <w:jc w:val="left"/>
        <w:rPr>
          <w:color w:val="131A45"/>
        </w:rPr>
      </w:pPr>
      <w:r>
        <w:rPr>
          <w:rFonts w:ascii="Lexend SemiBold" w:eastAsia="Lexend SemiBold" w:hAnsi="Lexend SemiBold" w:cs="Lexend SemiBold"/>
          <w:color w:val="131A45"/>
        </w:rPr>
        <w:t>Diversité fonctionnelle</w:t>
      </w:r>
      <w:r>
        <w:rPr>
          <w:b/>
          <w:color w:val="131A45"/>
        </w:rPr>
        <w:t xml:space="preserve"> :</w:t>
      </w:r>
      <w:r>
        <w:rPr>
          <w:color w:val="131A45"/>
        </w:rPr>
        <w:t xml:space="preserve"> Terme regroupant des personnes s/Sourdes, aveugles, en situation de handicap, </w:t>
      </w:r>
      <w:proofErr w:type="spellStart"/>
      <w:r>
        <w:rPr>
          <w:color w:val="131A45"/>
        </w:rPr>
        <w:t>neuroatypiques</w:t>
      </w:r>
      <w:proofErr w:type="spellEnd"/>
      <w:r>
        <w:rPr>
          <w:color w:val="131A45"/>
        </w:rPr>
        <w:t xml:space="preserve"> et </w:t>
      </w:r>
      <w:proofErr w:type="spellStart"/>
      <w:r>
        <w:rPr>
          <w:color w:val="131A45"/>
        </w:rPr>
        <w:t>psychoatypiques</w:t>
      </w:r>
      <w:proofErr w:type="spellEnd"/>
      <w:r>
        <w:rPr>
          <w:color w:val="131A45"/>
        </w:rPr>
        <w:t>. Le terme « diversité capacitaire », utilisé régulièrement dans le milieu universitaire, en est un synonyme.</w:t>
      </w:r>
    </w:p>
    <w:p w14:paraId="4E1AFEDA" w14:textId="77777777" w:rsidR="00BF02D1" w:rsidRDefault="00000000">
      <w:pPr>
        <w:widowControl w:val="0"/>
        <w:spacing w:before="600"/>
        <w:jc w:val="left"/>
        <w:rPr>
          <w:color w:val="131A45"/>
        </w:rPr>
      </w:pPr>
      <w:r>
        <w:rPr>
          <w:rFonts w:ascii="Lexend SemiBold" w:eastAsia="Lexend SemiBold" w:hAnsi="Lexend SemiBold" w:cs="Lexend SemiBold"/>
          <w:color w:val="131A45"/>
        </w:rPr>
        <w:t xml:space="preserve">Dit de la </w:t>
      </w:r>
      <w:r>
        <w:rPr>
          <w:color w:val="131A45"/>
        </w:rPr>
        <w:t xml:space="preserve">: Les termes comme </w:t>
      </w:r>
      <w:r>
        <w:rPr>
          <w:color w:val="131A45"/>
          <w:sz w:val="20"/>
          <w:szCs w:val="20"/>
        </w:rPr>
        <w:t xml:space="preserve">« </w:t>
      </w:r>
      <w:r>
        <w:rPr>
          <w:color w:val="131A45"/>
        </w:rPr>
        <w:t xml:space="preserve">diversité fonctionnelle </w:t>
      </w:r>
      <w:r>
        <w:rPr>
          <w:color w:val="131A45"/>
          <w:sz w:val="20"/>
          <w:szCs w:val="20"/>
        </w:rPr>
        <w:t>»</w:t>
      </w:r>
      <w:r>
        <w:rPr>
          <w:color w:val="131A45"/>
        </w:rPr>
        <w:t xml:space="preserve"> ou </w:t>
      </w:r>
      <w:r>
        <w:rPr>
          <w:color w:val="131A45"/>
          <w:sz w:val="20"/>
          <w:szCs w:val="20"/>
        </w:rPr>
        <w:t xml:space="preserve">« </w:t>
      </w:r>
      <w:r>
        <w:rPr>
          <w:color w:val="131A45"/>
        </w:rPr>
        <w:t xml:space="preserve">marginalisé </w:t>
      </w:r>
      <w:r>
        <w:rPr>
          <w:color w:val="131A45"/>
          <w:sz w:val="20"/>
          <w:szCs w:val="20"/>
        </w:rPr>
        <w:t>»</w:t>
      </w:r>
      <w:r>
        <w:rPr>
          <w:color w:val="131A45"/>
        </w:rPr>
        <w:t xml:space="preserve"> représentent des constructions sociales apposées par quelqu’un sur une autre personne qu’elle-même. </w:t>
      </w:r>
      <w:r>
        <w:rPr>
          <w:color w:val="131A45"/>
          <w:sz w:val="20"/>
          <w:szCs w:val="20"/>
        </w:rPr>
        <w:t xml:space="preserve">« </w:t>
      </w:r>
      <w:r>
        <w:rPr>
          <w:color w:val="131A45"/>
        </w:rPr>
        <w:t xml:space="preserve">Dit de la </w:t>
      </w:r>
      <w:r>
        <w:rPr>
          <w:color w:val="131A45"/>
          <w:sz w:val="20"/>
          <w:szCs w:val="20"/>
        </w:rPr>
        <w:t>»</w:t>
      </w:r>
      <w:r>
        <w:rPr>
          <w:color w:val="131A45"/>
        </w:rPr>
        <w:t xml:space="preserve"> souligne cette importante dynamique, en rappelant que ces étiquettes imposées peuvent être réductrices et biaisées. </w:t>
      </w:r>
    </w:p>
    <w:p w14:paraId="4E1AFEDB" w14:textId="77777777" w:rsidR="00BF02D1" w:rsidRDefault="00000000">
      <w:pPr>
        <w:widowControl w:val="0"/>
        <w:spacing w:before="600"/>
        <w:jc w:val="left"/>
        <w:rPr>
          <w:color w:val="131A45"/>
        </w:rPr>
      </w:pPr>
      <w:r>
        <w:rPr>
          <w:rFonts w:ascii="Lexend SemiBold" w:eastAsia="Lexend SemiBold" w:hAnsi="Lexend SemiBold" w:cs="Lexend SemiBold"/>
          <w:color w:val="131A45"/>
        </w:rPr>
        <w:t>Accessibilité universelle</w:t>
      </w:r>
      <w:r>
        <w:rPr>
          <w:color w:val="131A45"/>
        </w:rPr>
        <w:t xml:space="preserve"> : Caractère d’un lieu, d’un environnement, d’un produit, d’un service ou </w:t>
      </w:r>
      <w:proofErr w:type="gramStart"/>
      <w:r>
        <w:rPr>
          <w:color w:val="131A45"/>
        </w:rPr>
        <w:t>d’une technologie conçus</w:t>
      </w:r>
      <w:proofErr w:type="gramEnd"/>
      <w:r>
        <w:rPr>
          <w:color w:val="131A45"/>
        </w:rPr>
        <w:t xml:space="preserve"> </w:t>
      </w:r>
      <w:proofErr w:type="gramStart"/>
      <w:r>
        <w:rPr>
          <w:color w:val="131A45"/>
        </w:rPr>
        <w:t>de manière à ce</w:t>
      </w:r>
      <w:proofErr w:type="gramEnd"/>
      <w:r>
        <w:rPr>
          <w:color w:val="131A45"/>
        </w:rPr>
        <w:t xml:space="preserve"> qu’ils puissent être utilisés par toutes les personnes, quelles que soient leurs capacités physiques, sensorielles, cognitives ou intellectuelles. </w:t>
      </w:r>
    </w:p>
    <w:p w14:paraId="4E1AFEDC" w14:textId="77777777" w:rsidR="00BF02D1" w:rsidRDefault="00000000">
      <w:pPr>
        <w:widowControl w:val="0"/>
        <w:spacing w:before="600"/>
        <w:jc w:val="left"/>
        <w:rPr>
          <w:color w:val="131A45"/>
        </w:rPr>
      </w:pPr>
      <w:r>
        <w:rPr>
          <w:rFonts w:ascii="Lexend SemiBold" w:eastAsia="Lexend SemiBold" w:hAnsi="Lexend SemiBold" w:cs="Lexend SemiBold"/>
          <w:color w:val="131A45"/>
        </w:rPr>
        <w:t>Citoyenneté culturelle</w:t>
      </w:r>
      <w:r>
        <w:rPr>
          <w:color w:val="131A45"/>
        </w:rPr>
        <w:t xml:space="preserve"> : Ouverture et participation d’un individu, d'un groupe ou d’une communauté au sein de la vie culturelle d'une société. Ce concept englobe les droits et responsabilités associés à la culture, ainsi que l'accès et la participation aux différentes formes d'expressions culturelles, qu'elles soient artistiques, linguistiques, ou encore </w:t>
      </w:r>
      <w:r>
        <w:rPr>
          <w:color w:val="131A45"/>
        </w:rPr>
        <w:lastRenderedPageBreak/>
        <w:t xml:space="preserve">patrimoniales. </w:t>
      </w:r>
    </w:p>
    <w:p w14:paraId="4E1AFEDD" w14:textId="77777777" w:rsidR="00BF02D1" w:rsidRDefault="00000000">
      <w:pPr>
        <w:widowControl w:val="0"/>
        <w:spacing w:before="600"/>
        <w:jc w:val="left"/>
        <w:rPr>
          <w:color w:val="131A45"/>
        </w:rPr>
      </w:pPr>
      <w:r>
        <w:rPr>
          <w:rFonts w:ascii="Lexend SemiBold" w:eastAsia="Lexend SemiBold" w:hAnsi="Lexend SemiBold" w:cs="Lexend SemiBold"/>
          <w:color w:val="131A45"/>
        </w:rPr>
        <w:t xml:space="preserve">Capacitisme </w:t>
      </w:r>
      <w:r>
        <w:rPr>
          <w:color w:val="131A45"/>
        </w:rPr>
        <w:t xml:space="preserve">: Système d’oppression, de discrimination et de dévalorisation du potentiel, de la valeur et/ou de la contribution des personnes en situation de handicap, et, plus largement, aux personnes dites de la diversité fonctionnelle. </w:t>
      </w:r>
      <w:proofErr w:type="spellStart"/>
      <w:r>
        <w:rPr>
          <w:color w:val="131A45"/>
        </w:rPr>
        <w:t>Peut être</w:t>
      </w:r>
      <w:proofErr w:type="spellEnd"/>
      <w:r>
        <w:rPr>
          <w:color w:val="131A45"/>
        </w:rPr>
        <w:t xml:space="preserve"> perpétué autant par des individus, des institutions et/ou la culture d’une société dans son ensemble. </w:t>
      </w:r>
    </w:p>
    <w:p w14:paraId="4E1AFEDE" w14:textId="77777777" w:rsidR="00BF02D1" w:rsidRDefault="00000000">
      <w:pPr>
        <w:widowControl w:val="0"/>
        <w:spacing w:before="600"/>
        <w:jc w:val="left"/>
        <w:rPr>
          <w:color w:val="131A45"/>
        </w:rPr>
      </w:pPr>
      <w:r>
        <w:rPr>
          <w:rFonts w:ascii="Lexend SemiBold" w:eastAsia="Lexend SemiBold" w:hAnsi="Lexend SemiBold" w:cs="Lexend SemiBold"/>
          <w:color w:val="131A45"/>
        </w:rPr>
        <w:t>Biais cognitif</w:t>
      </w:r>
      <w:r>
        <w:rPr>
          <w:color w:val="131A45"/>
        </w:rPr>
        <w:t xml:space="preserve"> : Distorsion systématique dans la manière dont notre cerveau traite l'information, qui influence nos jugements, nos décisions et notre perception du monde sans que nous en ayons conscience. Ayant été élevés dans une société qui ne reconnaît souvent même pas explicitement son </w:t>
      </w:r>
      <w:proofErr w:type="spellStart"/>
      <w:r>
        <w:rPr>
          <w:color w:val="131A45"/>
        </w:rPr>
        <w:t>capacitisme</w:t>
      </w:r>
      <w:proofErr w:type="spellEnd"/>
      <w:r>
        <w:rPr>
          <w:color w:val="131A45"/>
        </w:rPr>
        <w:t>, nous vivons toutes et tous avec des biais cognitifs. Les défaire est le travail d’une vie.</w:t>
      </w:r>
    </w:p>
    <w:p w14:paraId="4E1AFEDF" w14:textId="77777777" w:rsidR="00BF02D1" w:rsidRDefault="00000000">
      <w:pPr>
        <w:widowControl w:val="0"/>
        <w:spacing w:before="600"/>
        <w:jc w:val="left"/>
        <w:rPr>
          <w:color w:val="131A45"/>
        </w:rPr>
      </w:pPr>
      <w:r>
        <w:rPr>
          <w:b/>
          <w:color w:val="131A45"/>
        </w:rPr>
        <w:t>Intersectionnalité</w:t>
      </w:r>
      <w:r>
        <w:rPr>
          <w:color w:val="131A45"/>
        </w:rPr>
        <w:t xml:space="preserve"> : Concept de </w:t>
      </w:r>
      <w:proofErr w:type="spellStart"/>
      <w:r w:rsidRPr="00C23744">
        <w:rPr>
          <w:color w:val="131A45"/>
        </w:rPr>
        <w:t>Kimberlé</w:t>
      </w:r>
      <w:proofErr w:type="spellEnd"/>
      <w:r w:rsidRPr="00C23744">
        <w:rPr>
          <w:color w:val="131A45"/>
        </w:rPr>
        <w:t xml:space="preserve"> Crenshaw</w:t>
      </w:r>
      <w:r>
        <w:rPr>
          <w:color w:val="131A45"/>
        </w:rPr>
        <w:t xml:space="preserve"> (1989), pour expliquer la manière dont différentes formes de discrimination (selon le sexe, la race, la classe, la situation de handicap, etc.) s'entrelacent et se renforcent. Il est important de souligner que les oppressions ne peuvent être comprises isolément, et qu’elles sont aussi transformées par les diverses appartenances sociales et selon les contextes. </w:t>
      </w:r>
    </w:p>
    <w:p w14:paraId="4E1AFEE0" w14:textId="77777777" w:rsidR="00BF02D1" w:rsidRDefault="00000000">
      <w:pPr>
        <w:widowControl w:val="0"/>
        <w:spacing w:before="600"/>
        <w:jc w:val="left"/>
        <w:rPr>
          <w:color w:val="131A45"/>
        </w:rPr>
      </w:pPr>
      <w:r>
        <w:rPr>
          <w:rFonts w:ascii="Lexend SemiBold" w:eastAsia="Lexend SemiBold" w:hAnsi="Lexend SemiBold" w:cs="Lexend SemiBold"/>
          <w:color w:val="131A45"/>
        </w:rPr>
        <w:t>Gestes réparateurs</w:t>
      </w:r>
      <w:r>
        <w:rPr>
          <w:color w:val="131A45"/>
        </w:rPr>
        <w:t xml:space="preserve"> : Actions concrètes mises en place pour corriger une erreur, un préjudice ou une maladresse ayant affecté une personne ou un groupe. Ce concept souligne que les erreurs font partie de l’apprentissage, mais qu’il est important de les reconnaître et de poser des gestes réparateurs par la suite. </w:t>
      </w:r>
    </w:p>
    <w:p w14:paraId="4E1AFEE1" w14:textId="77777777" w:rsidR="00BF02D1" w:rsidRDefault="00000000">
      <w:pPr>
        <w:widowControl w:val="0"/>
        <w:spacing w:before="600"/>
        <w:jc w:val="left"/>
        <w:rPr>
          <w:color w:val="131A45"/>
        </w:rPr>
      </w:pPr>
      <w:r>
        <w:rPr>
          <w:rFonts w:ascii="Lexend SemiBold" w:eastAsia="Lexend SemiBold" w:hAnsi="Lexend SemiBold" w:cs="Lexend SemiBold"/>
          <w:color w:val="131A45"/>
        </w:rPr>
        <w:t>Représentation décontractée</w:t>
      </w:r>
      <w:r>
        <w:rPr>
          <w:color w:val="131A45"/>
        </w:rPr>
        <w:t xml:space="preserve"> : Terme souvent utilisé au Québec pour parler de représentations artistiques où certaines modifications sont apportées à l’environnement pour les rendre plus accessibles à certaines communautés dites de la diversité fonctionnelle, ou pour accueillir des publics spécifiques. Souvent, seulement une ou deux représentations décontractées sont organisées par spectacle. </w:t>
      </w:r>
    </w:p>
    <w:p w14:paraId="4E1AFEE2" w14:textId="77777777" w:rsidR="00BF02D1" w:rsidRDefault="00000000">
      <w:pPr>
        <w:pStyle w:val="Titre2"/>
        <w:widowControl w:val="0"/>
        <w:ind w:left="1440" w:right="360"/>
      </w:pPr>
      <w:bookmarkStart w:id="5" w:name="_heading=h.2et92p0" w:colFirst="0" w:colLast="0"/>
      <w:bookmarkEnd w:id="5"/>
      <w:r>
        <w:rPr>
          <w:noProof/>
        </w:rPr>
        <w:lastRenderedPageBreak/>
        <w:drawing>
          <wp:anchor distT="0" distB="0" distL="0" distR="0" simplePos="0" relativeHeight="251668480" behindDoc="1" locked="0" layoutInCell="1" hidden="0" allowOverlap="1" wp14:anchorId="4E1B010F" wp14:editId="106F463C">
            <wp:simplePos x="0" y="0"/>
            <wp:positionH relativeFrom="page">
              <wp:posOffset>3569970</wp:posOffset>
            </wp:positionH>
            <wp:positionV relativeFrom="page">
              <wp:posOffset>696432</wp:posOffset>
            </wp:positionV>
            <wp:extent cx="4492869" cy="600075"/>
            <wp:effectExtent l="0" t="0" r="3175" b="0"/>
            <wp:wrapNone/>
            <wp:docPr id="130602835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492869" cy="600075"/>
                    </a:xfrm>
                    <a:prstGeom prst="rect">
                      <a:avLst/>
                    </a:prstGeom>
                    <a:ln/>
                  </pic:spPr>
                </pic:pic>
              </a:graphicData>
            </a:graphic>
          </wp:anchor>
        </w:drawing>
      </w:r>
      <w:r>
        <w:t>Les modèles du handicap</w:t>
      </w:r>
    </w:p>
    <w:p w14:paraId="4E1AFEE3" w14:textId="77777777" w:rsidR="00BF02D1" w:rsidRDefault="00000000">
      <w:pPr>
        <w:widowControl w:val="0"/>
        <w:spacing w:after="240"/>
        <w:jc w:val="left"/>
        <w:rPr>
          <w:color w:val="131A45"/>
        </w:rPr>
      </w:pPr>
      <w:r>
        <w:rPr>
          <w:color w:val="131A45"/>
        </w:rPr>
        <w:t xml:space="preserve">Quand il est question de la diversité fonctionnelle, il est important de comprendre plusieurs concepts de base. </w:t>
      </w:r>
    </w:p>
    <w:p w14:paraId="4E1AFEE4" w14:textId="77777777" w:rsidR="00BF02D1" w:rsidRDefault="00000000">
      <w:pPr>
        <w:widowControl w:val="0"/>
        <w:spacing w:before="400" w:after="240"/>
        <w:jc w:val="left"/>
        <w:rPr>
          <w:color w:val="131A45"/>
        </w:rPr>
      </w:pPr>
      <w:r>
        <w:rPr>
          <w:color w:val="131A45"/>
        </w:rPr>
        <w:t>Un de ceux-ci relève de la notion des modèles du handicap.</w:t>
      </w:r>
    </w:p>
    <w:p w14:paraId="4E1AFEE5" w14:textId="77777777" w:rsidR="00BF02D1" w:rsidRDefault="00000000">
      <w:pPr>
        <w:widowControl w:val="0"/>
        <w:spacing w:before="400"/>
        <w:jc w:val="left"/>
        <w:rPr>
          <w:color w:val="131A45"/>
        </w:rPr>
      </w:pPr>
      <w:r>
        <w:rPr>
          <w:color w:val="131A45"/>
        </w:rPr>
        <w:t xml:space="preserve">Un modèle du handicap (aussi nommé « modèle théorique du handicap » ou « conceptualisation du handicap »), c’est une conception personnelle ou sociétale du handicap. </w:t>
      </w:r>
    </w:p>
    <w:p w14:paraId="4E1AFEE6" w14:textId="77777777" w:rsidR="00BF02D1" w:rsidRDefault="00000000">
      <w:pPr>
        <w:widowControl w:val="0"/>
        <w:spacing w:before="400"/>
        <w:jc w:val="left"/>
        <w:rPr>
          <w:color w:val="131A45"/>
        </w:rPr>
      </w:pPr>
      <w:r>
        <w:rPr>
          <w:color w:val="131A45"/>
        </w:rPr>
        <w:t xml:space="preserve">Une image souvent utilisée pour expliquer les modèles du handicap est que chaque modèle représente une lentille à travers laquelle les gens, les institutions ou la société perçoivent et réagissent au(x) handicap(s). </w:t>
      </w:r>
    </w:p>
    <w:p w14:paraId="4E1AFEE7" w14:textId="77777777" w:rsidR="00BF02D1" w:rsidRDefault="00000000">
      <w:pPr>
        <w:widowControl w:val="0"/>
        <w:spacing w:before="400"/>
        <w:jc w:val="left"/>
        <w:rPr>
          <w:color w:val="131A45"/>
        </w:rPr>
      </w:pPr>
      <w:r>
        <w:rPr>
          <w:color w:val="131A45"/>
        </w:rPr>
        <w:t>Ces lentilles sont influencées par divers facteurs comme l’inconscient collectif, les connaissances personnelles sur le sujet, le type de sensibilisation reçu, les médias et publicités, l’environnement, etc.</w:t>
      </w:r>
    </w:p>
    <w:p w14:paraId="4E1AFEE8" w14:textId="77777777" w:rsidR="00BF02D1" w:rsidRDefault="00000000">
      <w:pPr>
        <w:widowControl w:val="0"/>
        <w:spacing w:before="400"/>
        <w:jc w:val="left"/>
        <w:rPr>
          <w:color w:val="131A45"/>
        </w:rPr>
      </w:pPr>
      <w:r>
        <w:rPr>
          <w:color w:val="131A45"/>
        </w:rPr>
        <w:t>Plus d’une dizaine de modèles du handicap ont été définis, mais les plus fréquemment vus et mentionnés sont :</w:t>
      </w:r>
    </w:p>
    <w:p w14:paraId="4E1AFEE9" w14:textId="77777777" w:rsidR="00BF02D1" w:rsidRDefault="00000000">
      <w:pPr>
        <w:widowControl w:val="0"/>
        <w:numPr>
          <w:ilvl w:val="0"/>
          <w:numId w:val="48"/>
        </w:numPr>
        <w:jc w:val="left"/>
        <w:rPr>
          <w:color w:val="131A45"/>
        </w:rPr>
      </w:pPr>
      <w:r>
        <w:rPr>
          <w:color w:val="131A45"/>
        </w:rPr>
        <w:t>Le modèle charitable, où la personne en situation de handicap est prise en pitié; on suppose qu’elle a besoin de charité.</w:t>
      </w:r>
    </w:p>
    <w:p w14:paraId="4E1AFEEA" w14:textId="77777777" w:rsidR="00BF02D1" w:rsidRDefault="00000000">
      <w:pPr>
        <w:widowControl w:val="0"/>
        <w:numPr>
          <w:ilvl w:val="0"/>
          <w:numId w:val="48"/>
        </w:numPr>
        <w:jc w:val="left"/>
        <w:rPr>
          <w:color w:val="131A45"/>
        </w:rPr>
      </w:pPr>
      <w:r>
        <w:rPr>
          <w:color w:val="131A45"/>
        </w:rPr>
        <w:t>Le modèle médical, où la personne en situation de handicap est vue comme une personne malade ou avec un problème. Le but est de traiter et d’enrayer toute pathologie rendant cette personne « défectueuse ». Dans ce modèle, le handicap est perçu comme la responsabilité individuelle de cette personne.</w:t>
      </w:r>
    </w:p>
    <w:p w14:paraId="4E1AFEEB" w14:textId="77777777" w:rsidR="00BF02D1" w:rsidRDefault="00000000">
      <w:pPr>
        <w:widowControl w:val="0"/>
        <w:numPr>
          <w:ilvl w:val="0"/>
          <w:numId w:val="48"/>
        </w:numPr>
        <w:jc w:val="left"/>
        <w:rPr>
          <w:color w:val="131A45"/>
        </w:rPr>
      </w:pPr>
      <w:r>
        <w:rPr>
          <w:color w:val="131A45"/>
        </w:rPr>
        <w:t xml:space="preserve">Le modèle social, quant à lui, défend que le handicap soit causé par les barrières (environnementales, architecturales, sociales, communicationnelles, etc.) présentes en société, plutôt que par la condition elle-même. Sans ces barrières, la </w:t>
      </w:r>
      <w:r>
        <w:rPr>
          <w:color w:val="131A45"/>
        </w:rPr>
        <w:lastRenderedPageBreak/>
        <w:t>notion de handicap n’existerait pas.</w:t>
      </w:r>
    </w:p>
    <w:p w14:paraId="4E1AFEEC" w14:textId="77777777" w:rsidR="00BF02D1" w:rsidRDefault="00000000">
      <w:pPr>
        <w:widowControl w:val="0"/>
        <w:spacing w:before="400"/>
        <w:jc w:val="left"/>
        <w:rPr>
          <w:color w:val="131A45"/>
        </w:rPr>
      </w:pPr>
      <w:r>
        <w:rPr>
          <w:color w:val="131A45"/>
        </w:rPr>
        <w:t xml:space="preserve">Ces perceptions et leurs influences sont primordiales à comprendre. Le </w:t>
      </w:r>
      <w:proofErr w:type="spellStart"/>
      <w:r>
        <w:rPr>
          <w:color w:val="131A45"/>
        </w:rPr>
        <w:t>capacitisme</w:t>
      </w:r>
      <w:proofErr w:type="spellEnd"/>
      <w:r>
        <w:rPr>
          <w:color w:val="131A45"/>
        </w:rPr>
        <w:t>, conscient, inconscient et/ou systémique, résulte souvent de ces perceptions.</w:t>
      </w:r>
    </w:p>
    <w:p w14:paraId="4E1AFEED" w14:textId="77777777" w:rsidR="00BF02D1" w:rsidRDefault="00000000">
      <w:pPr>
        <w:widowControl w:val="0"/>
        <w:spacing w:before="400"/>
        <w:jc w:val="left"/>
        <w:rPr>
          <w:color w:val="131A45"/>
        </w:rPr>
      </w:pPr>
      <w:r>
        <w:rPr>
          <w:color w:val="131A45"/>
        </w:rPr>
        <w:t xml:space="preserve">Un nouveau modèle émerge cependant depuis les années 2000 : le </w:t>
      </w:r>
      <w:r>
        <w:rPr>
          <w:rFonts w:ascii="Lexend SemiBold" w:eastAsia="Lexend SemiBold" w:hAnsi="Lexend SemiBold" w:cs="Lexend SemiBold"/>
          <w:color w:val="131A45"/>
        </w:rPr>
        <w:t>modèle affirmatif du handicap</w:t>
      </w:r>
      <w:r>
        <w:rPr>
          <w:color w:val="131A45"/>
        </w:rPr>
        <w:t xml:space="preserve">. À travers ce modèle, on promeut une conception non tragique du handicap et de ses dites limitations, où l’identité de la personne en situation de handicap, sous toutes ses facettes, est positive et à valoriser. </w:t>
      </w:r>
    </w:p>
    <w:p w14:paraId="4E1AFEEE" w14:textId="77777777" w:rsidR="00BF02D1" w:rsidRDefault="00000000">
      <w:pPr>
        <w:widowControl w:val="0"/>
        <w:spacing w:before="400"/>
        <w:jc w:val="left"/>
        <w:rPr>
          <w:color w:val="131A45"/>
        </w:rPr>
      </w:pPr>
      <w:r>
        <w:rPr>
          <w:color w:val="131A45"/>
        </w:rPr>
        <w:t xml:space="preserve">Ce modèle appartient à des champs d’études beaucoup plus vastes, nommés </w:t>
      </w:r>
      <w:r>
        <w:t>« </w:t>
      </w:r>
      <w:r>
        <w:rPr>
          <w:color w:val="131A45"/>
        </w:rPr>
        <w:t>études sur le handicap</w:t>
      </w:r>
      <w:r>
        <w:rPr>
          <w:color w:val="131A45"/>
          <w:vertAlign w:val="superscript"/>
        </w:rPr>
        <w:footnoteReference w:id="1"/>
      </w:r>
      <w:r>
        <w:t> »</w:t>
      </w:r>
      <w:r>
        <w:rPr>
          <w:color w:val="131A45"/>
        </w:rPr>
        <w:t>, qui se fragmentent en plusieurs sous-champs de recherche qui incluent, entre autres, les études sur la folie</w:t>
      </w:r>
      <w:r>
        <w:rPr>
          <w:color w:val="131A45"/>
          <w:vertAlign w:val="superscript"/>
        </w:rPr>
        <w:footnoteReference w:id="2"/>
      </w:r>
      <w:r>
        <w:rPr>
          <w:color w:val="131A45"/>
        </w:rPr>
        <w:t>, les études noires sur le handicap</w:t>
      </w:r>
      <w:r>
        <w:rPr>
          <w:color w:val="131A45"/>
          <w:vertAlign w:val="superscript"/>
        </w:rPr>
        <w:footnoteReference w:id="3"/>
      </w:r>
      <w:r>
        <w:rPr>
          <w:color w:val="131A45"/>
        </w:rPr>
        <w:t xml:space="preserve"> et les études féministes sur le handicap</w:t>
      </w:r>
      <w:r>
        <w:rPr>
          <w:color w:val="131A45"/>
          <w:vertAlign w:val="superscript"/>
        </w:rPr>
        <w:footnoteReference w:id="4"/>
      </w:r>
      <w:r>
        <w:rPr>
          <w:color w:val="131A45"/>
        </w:rPr>
        <w:t>. Ces diverses perspectives permettent, une fois de plus, de valoriser les personnes dans leur ensemble et leur individualité et non pas en fonction de leur diagnostic.</w:t>
      </w:r>
    </w:p>
    <w:p w14:paraId="4E1AFEEF" w14:textId="78183861" w:rsidR="00BF02D1" w:rsidRDefault="00C23744">
      <w:pPr>
        <w:pStyle w:val="Titre2"/>
        <w:widowControl w:val="0"/>
        <w:ind w:right="360"/>
      </w:pPr>
      <w:bookmarkStart w:id="6" w:name="_heading=h.tyjcwt" w:colFirst="0" w:colLast="0"/>
      <w:bookmarkEnd w:id="6"/>
      <w:r>
        <w:rPr>
          <w:noProof/>
        </w:rPr>
        <w:lastRenderedPageBreak/>
        <w:drawing>
          <wp:anchor distT="0" distB="0" distL="0" distR="0" simplePos="0" relativeHeight="251669504" behindDoc="1" locked="0" layoutInCell="1" hidden="0" allowOverlap="1" wp14:anchorId="4E1B0111" wp14:editId="7C538003">
            <wp:simplePos x="0" y="0"/>
            <wp:positionH relativeFrom="page">
              <wp:posOffset>1734820</wp:posOffset>
            </wp:positionH>
            <wp:positionV relativeFrom="page">
              <wp:posOffset>693257</wp:posOffset>
            </wp:positionV>
            <wp:extent cx="4492625" cy="600075"/>
            <wp:effectExtent l="0" t="0" r="3175" b="0"/>
            <wp:wrapNone/>
            <wp:docPr id="130602836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492625" cy="600075"/>
                    </a:xfrm>
                    <a:prstGeom prst="rect">
                      <a:avLst/>
                    </a:prstGeom>
                    <a:ln/>
                  </pic:spPr>
                </pic:pic>
              </a:graphicData>
            </a:graphic>
          </wp:anchor>
        </w:drawing>
      </w:r>
      <w:r>
        <w:rPr>
          <w:noProof/>
        </w:rPr>
        <w:drawing>
          <wp:anchor distT="0" distB="0" distL="0" distR="0" simplePos="0" relativeHeight="251670528" behindDoc="1" locked="0" layoutInCell="1" hidden="0" allowOverlap="1" wp14:anchorId="4E1B0113" wp14:editId="5437D3BA">
            <wp:simplePos x="0" y="0"/>
            <wp:positionH relativeFrom="page">
              <wp:posOffset>3717290</wp:posOffset>
            </wp:positionH>
            <wp:positionV relativeFrom="page">
              <wp:posOffset>693892</wp:posOffset>
            </wp:positionV>
            <wp:extent cx="4492625" cy="600075"/>
            <wp:effectExtent l="0" t="0" r="3175" b="0"/>
            <wp:wrapNone/>
            <wp:docPr id="130602838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492625" cy="600075"/>
                    </a:xfrm>
                    <a:prstGeom prst="rect">
                      <a:avLst/>
                    </a:prstGeom>
                    <a:ln/>
                  </pic:spPr>
                </pic:pic>
              </a:graphicData>
            </a:graphic>
          </wp:anchor>
        </w:drawing>
      </w:r>
      <w:r>
        <w:t xml:space="preserve">Nommer (adéquatement) les communautés </w:t>
      </w:r>
    </w:p>
    <w:p w14:paraId="4E1AFEF0" w14:textId="77777777" w:rsidR="00BF02D1" w:rsidRDefault="00000000">
      <w:pPr>
        <w:widowControl w:val="0"/>
        <w:jc w:val="left"/>
        <w:rPr>
          <w:color w:val="131A45"/>
        </w:rPr>
      </w:pPr>
      <w:r>
        <w:rPr>
          <w:color w:val="131A45"/>
        </w:rPr>
        <w:t xml:space="preserve">Travailler à l’accessibilité des arts vivants, c’est souvent sortir de sa zone de confort. Il est normal de ne pas toujours connaître toutes les terminologies et </w:t>
      </w:r>
      <w:proofErr w:type="gramStart"/>
      <w:r>
        <w:rPr>
          <w:color w:val="131A45"/>
        </w:rPr>
        <w:t>d’avoir peur</w:t>
      </w:r>
      <w:proofErr w:type="gramEnd"/>
      <w:r>
        <w:rPr>
          <w:color w:val="131A45"/>
        </w:rPr>
        <w:t xml:space="preserve"> de faire des erreurs.</w:t>
      </w:r>
    </w:p>
    <w:p w14:paraId="4E1AFEF1" w14:textId="77777777" w:rsidR="00BF02D1" w:rsidRDefault="00000000">
      <w:pPr>
        <w:widowControl w:val="0"/>
        <w:spacing w:before="400"/>
        <w:jc w:val="left"/>
        <w:rPr>
          <w:color w:val="131A45"/>
        </w:rPr>
      </w:pPr>
      <w:r>
        <w:rPr>
          <w:color w:val="131A45"/>
        </w:rPr>
        <w:t>Néanmoins, notre éducation sur ce sujet ne doit pas être la responsabilité des personnes dites de la diversité fonctionnelle que nous côtoyons. Voici donc un survol des bases à connaître.</w:t>
      </w:r>
    </w:p>
    <w:p w14:paraId="4E1AFEF2" w14:textId="77777777" w:rsidR="00BF02D1" w:rsidRDefault="00000000">
      <w:pPr>
        <w:pStyle w:val="Titre3"/>
        <w:widowControl w:val="0"/>
        <w:jc w:val="left"/>
      </w:pPr>
      <w:bookmarkStart w:id="7" w:name="_heading=h.3dy6vkm" w:colFirst="0" w:colLast="0"/>
      <w:bookmarkEnd w:id="7"/>
      <w:r>
        <w:t>LA RÈGLE D’OR</w:t>
      </w:r>
    </w:p>
    <w:p w14:paraId="4E1AFEF3" w14:textId="77777777" w:rsidR="00BF02D1" w:rsidRDefault="00000000">
      <w:pPr>
        <w:widowControl w:val="0"/>
        <w:spacing w:before="400"/>
        <w:jc w:val="left"/>
        <w:rPr>
          <w:color w:val="131A45"/>
        </w:rPr>
      </w:pPr>
      <w:proofErr w:type="gramStart"/>
      <w:r>
        <w:rPr>
          <w:color w:val="131A45"/>
        </w:rPr>
        <w:t>Tout commence par « personne »</w:t>
      </w:r>
      <w:proofErr w:type="gramEnd"/>
      <w:r>
        <w:rPr>
          <w:color w:val="131A45"/>
        </w:rPr>
        <w:t xml:space="preserve"> ou « individu ». </w:t>
      </w:r>
    </w:p>
    <w:p w14:paraId="4E1AFEF4" w14:textId="77777777" w:rsidR="00BF02D1" w:rsidRDefault="00000000">
      <w:pPr>
        <w:widowControl w:val="0"/>
        <w:jc w:val="left"/>
        <w:rPr>
          <w:color w:val="131A45"/>
        </w:rPr>
      </w:pPr>
      <w:r>
        <w:rPr>
          <w:color w:val="131A45"/>
        </w:rPr>
        <w:t>Ce n’est JAMAIS : une ou un aveugle, une ou un autiste, une ou un analphabète.</w:t>
      </w:r>
    </w:p>
    <w:p w14:paraId="4E1AFEF5" w14:textId="77777777" w:rsidR="00BF02D1" w:rsidRDefault="00000000">
      <w:pPr>
        <w:widowControl w:val="0"/>
        <w:jc w:val="left"/>
        <w:rPr>
          <w:color w:val="131A45"/>
        </w:rPr>
      </w:pPr>
      <w:r>
        <w:rPr>
          <w:color w:val="131A45"/>
        </w:rPr>
        <w:t>C’est : une personne aveugle, une personne autiste, une personne analphabète.</w:t>
      </w:r>
    </w:p>
    <w:p w14:paraId="4E1AFEF6" w14:textId="77777777" w:rsidR="00BF02D1" w:rsidRDefault="00000000">
      <w:pPr>
        <w:widowControl w:val="0"/>
        <w:jc w:val="left"/>
        <w:rPr>
          <w:color w:val="131A45"/>
        </w:rPr>
      </w:pPr>
      <w:r>
        <w:rPr>
          <w:color w:val="131A45"/>
        </w:rPr>
        <w:t>Il y a des subtilités, des termes meilleurs que d’autres et des questions de préférence, mais il est toujours plus humanisant d’inclure les termes « personne » ou « individu ».</w:t>
      </w:r>
    </w:p>
    <w:p w14:paraId="4E1AFEF7" w14:textId="77777777" w:rsidR="00BF02D1" w:rsidRDefault="00000000">
      <w:pPr>
        <w:pStyle w:val="Titre3"/>
        <w:widowControl w:val="0"/>
        <w:jc w:val="left"/>
      </w:pPr>
      <w:bookmarkStart w:id="8" w:name="_heading=h.1t3h5sf" w:colFirst="0" w:colLast="0"/>
      <w:bookmarkEnd w:id="8"/>
      <w:r>
        <w:t>LANGAGE CENTRÉ SUR L’INDIVIDU OU CENTRÉ SUR L’IDENTITÉ</w:t>
      </w:r>
    </w:p>
    <w:p w14:paraId="4E1AFEF8" w14:textId="77777777" w:rsidR="00BF02D1" w:rsidRDefault="00000000">
      <w:pPr>
        <w:widowControl w:val="0"/>
        <w:spacing w:before="400"/>
        <w:jc w:val="left"/>
        <w:rPr>
          <w:color w:val="131A45"/>
        </w:rPr>
      </w:pPr>
      <w:r>
        <w:rPr>
          <w:color w:val="131A45"/>
        </w:rPr>
        <w:t>Il y a deux types de langage utilisés :</w:t>
      </w:r>
    </w:p>
    <w:p w14:paraId="4E1AFEF9" w14:textId="77777777" w:rsidR="00BF02D1" w:rsidRDefault="00000000">
      <w:pPr>
        <w:widowControl w:val="0"/>
        <w:numPr>
          <w:ilvl w:val="0"/>
          <w:numId w:val="10"/>
        </w:numPr>
        <w:jc w:val="left"/>
        <w:rPr>
          <w:color w:val="131A45"/>
        </w:rPr>
      </w:pPr>
      <w:r>
        <w:rPr>
          <w:rFonts w:ascii="Lexend SemiBold" w:eastAsia="Lexend SemiBold" w:hAnsi="Lexend SemiBold" w:cs="Lexend SemiBold"/>
          <w:color w:val="131A45"/>
        </w:rPr>
        <w:t>Langage centré sur l’individu</w:t>
      </w:r>
      <w:r>
        <w:rPr>
          <w:color w:val="131A45"/>
        </w:rPr>
        <w:t xml:space="preserve"> : l’accent est mis sur la personne en tant qu’individu et moins sur son handicap. Par exemple, « personne en situation de handicap » au lieu de « personne handicapée ».</w:t>
      </w:r>
    </w:p>
    <w:p w14:paraId="4E1AFEFA" w14:textId="77777777" w:rsidR="00BF02D1" w:rsidRDefault="00000000">
      <w:pPr>
        <w:widowControl w:val="0"/>
        <w:numPr>
          <w:ilvl w:val="1"/>
          <w:numId w:val="5"/>
        </w:numPr>
        <w:spacing w:before="120"/>
        <w:jc w:val="left"/>
        <w:rPr>
          <w:color w:val="131A45"/>
        </w:rPr>
      </w:pPr>
      <w:r>
        <w:rPr>
          <w:color w:val="131A45"/>
        </w:rPr>
        <w:t>« Situation de handicap » met l’accent sur l’aspect changeant d’une situation.</w:t>
      </w:r>
    </w:p>
    <w:p w14:paraId="4E1AFEFB" w14:textId="77777777" w:rsidR="00BF02D1" w:rsidRDefault="00000000">
      <w:pPr>
        <w:widowControl w:val="0"/>
        <w:numPr>
          <w:ilvl w:val="1"/>
          <w:numId w:val="5"/>
        </w:numPr>
        <w:jc w:val="left"/>
        <w:rPr>
          <w:color w:val="131A45"/>
        </w:rPr>
      </w:pPr>
      <w:r>
        <w:rPr>
          <w:color w:val="131A45"/>
        </w:rPr>
        <w:lastRenderedPageBreak/>
        <w:t>Ce langage souligne que le handicap est un produit de l’environnement.</w:t>
      </w:r>
    </w:p>
    <w:p w14:paraId="4E1AFEFC" w14:textId="77777777" w:rsidR="00BF02D1" w:rsidRDefault="00000000">
      <w:pPr>
        <w:widowControl w:val="0"/>
        <w:numPr>
          <w:ilvl w:val="0"/>
          <w:numId w:val="10"/>
        </w:numPr>
        <w:spacing w:before="400"/>
        <w:jc w:val="left"/>
        <w:rPr>
          <w:color w:val="131A45"/>
        </w:rPr>
      </w:pPr>
      <w:r>
        <w:rPr>
          <w:rFonts w:ascii="Lexend SemiBold" w:eastAsia="Lexend SemiBold" w:hAnsi="Lexend SemiBold" w:cs="Lexend SemiBold"/>
          <w:color w:val="131A45"/>
        </w:rPr>
        <w:t>Langage centré sur l’identité</w:t>
      </w:r>
      <w:r>
        <w:rPr>
          <w:color w:val="131A45"/>
        </w:rPr>
        <w:t xml:space="preserve"> : l’accent est mis sur le handicap. On dit, par exemple, « personne handicapée » au lieu de « personne en situation de handicap ». Plusieurs personnes en situation de handicap utilisent le langage centré sur l’identité pour une myriade de raisons. Elles l’emploient par exemple :</w:t>
      </w:r>
    </w:p>
    <w:p w14:paraId="4E1AFEFD" w14:textId="77777777" w:rsidR="00BF02D1" w:rsidRDefault="00000000">
      <w:pPr>
        <w:widowControl w:val="0"/>
        <w:numPr>
          <w:ilvl w:val="0"/>
          <w:numId w:val="71"/>
        </w:numPr>
        <w:spacing w:before="120"/>
        <w:jc w:val="left"/>
        <w:rPr>
          <w:color w:val="131A45"/>
        </w:rPr>
      </w:pPr>
      <w:r>
        <w:rPr>
          <w:color w:val="131A45"/>
        </w:rPr>
        <w:t xml:space="preserve">Comme outil de réappropriation de l’identité handicapée dont elles sont fières. C’est une expression de la manière dont elles perçoivent le monde et communiquent avec les gens. </w:t>
      </w:r>
    </w:p>
    <w:p w14:paraId="4E1AFEFE" w14:textId="77777777" w:rsidR="00BF02D1" w:rsidRDefault="00000000">
      <w:pPr>
        <w:widowControl w:val="0"/>
        <w:numPr>
          <w:ilvl w:val="0"/>
          <w:numId w:val="71"/>
        </w:numPr>
        <w:jc w:val="left"/>
        <w:rPr>
          <w:color w:val="131A45"/>
        </w:rPr>
      </w:pPr>
      <w:r>
        <w:rPr>
          <w:color w:val="131A45"/>
        </w:rPr>
        <w:t>Pour mettre en lumière leur handicap comme une partie importante de leur identité.</w:t>
      </w:r>
    </w:p>
    <w:p w14:paraId="4E1AFEFF" w14:textId="77777777" w:rsidR="00BF02D1" w:rsidRDefault="00000000">
      <w:pPr>
        <w:widowControl w:val="0"/>
        <w:numPr>
          <w:ilvl w:val="0"/>
          <w:numId w:val="71"/>
        </w:numPr>
        <w:jc w:val="left"/>
        <w:rPr>
          <w:color w:val="131A45"/>
        </w:rPr>
      </w:pPr>
      <w:r>
        <w:rPr>
          <w:color w:val="131A45"/>
        </w:rPr>
        <w:t xml:space="preserve">Par préférence, parce qu’elles aiment mieux cette version simplifiée du langage d’identification. </w:t>
      </w:r>
    </w:p>
    <w:p w14:paraId="4E1AFF00" w14:textId="77777777" w:rsidR="00BF02D1" w:rsidRDefault="00000000">
      <w:pPr>
        <w:widowControl w:val="0"/>
        <w:spacing w:before="400"/>
        <w:jc w:val="left"/>
        <w:rPr>
          <w:color w:val="131A45"/>
        </w:rPr>
      </w:pPr>
      <w:r>
        <w:rPr>
          <w:color w:val="131A45"/>
        </w:rPr>
        <w:t xml:space="preserve">Il est préférable d’utiliser le langage centré sur l’individu d’abord, sauf si vous savez que votre interlocutrice ou interlocuteur préfère le langage centré sur l’identité. </w:t>
      </w:r>
    </w:p>
    <w:p w14:paraId="4E1AFF01" w14:textId="77777777" w:rsidR="00BF02D1" w:rsidRDefault="00000000">
      <w:pPr>
        <w:widowControl w:val="0"/>
        <w:spacing w:before="400"/>
        <w:jc w:val="left"/>
        <w:rPr>
          <w:b/>
          <w:color w:val="131A45"/>
        </w:rPr>
      </w:pPr>
      <w:r>
        <w:rPr>
          <w:color w:val="131A45"/>
        </w:rPr>
        <w:t xml:space="preserve">La règle ultime est de </w:t>
      </w:r>
      <w:r>
        <w:rPr>
          <w:rFonts w:ascii="Lexend SemiBold" w:eastAsia="Lexend SemiBold" w:hAnsi="Lexend SemiBold" w:cs="Lexend SemiBold"/>
          <w:color w:val="131A45"/>
        </w:rPr>
        <w:t>respecter le droit d’autodétermination de chaque personne quant au langage utilisé pour se définir</w:t>
      </w:r>
      <w:r>
        <w:rPr>
          <w:b/>
          <w:color w:val="131A45"/>
        </w:rPr>
        <w:t>.</w:t>
      </w:r>
    </w:p>
    <w:p w14:paraId="4E1AFF02" w14:textId="77777777" w:rsidR="00BF02D1" w:rsidRDefault="00000000">
      <w:pPr>
        <w:widowControl w:val="0"/>
        <w:spacing w:before="400"/>
        <w:jc w:val="left"/>
        <w:rPr>
          <w:color w:val="131A45"/>
        </w:rPr>
      </w:pPr>
      <w:r>
        <w:rPr>
          <w:color w:val="131A45"/>
        </w:rPr>
        <w:t>Il n’y a pas d’argumentation : on utilise le terme qu’elle a choisi pour référer à une personne qui nous a exprimé sa préférence.</w:t>
      </w:r>
    </w:p>
    <w:p w14:paraId="4E1AFF03" w14:textId="77777777" w:rsidR="00BF02D1" w:rsidRDefault="00000000">
      <w:pPr>
        <w:widowControl w:val="0"/>
        <w:spacing w:before="400"/>
        <w:jc w:val="left"/>
        <w:rPr>
          <w:color w:val="131A45"/>
        </w:rPr>
      </w:pPr>
      <w:r>
        <w:rPr>
          <w:color w:val="131A45"/>
        </w:rPr>
        <w:t xml:space="preserve">En cas de doute, il suffit de demander. </w:t>
      </w:r>
    </w:p>
    <w:p w14:paraId="4E1AFF04" w14:textId="77777777" w:rsidR="00BF02D1" w:rsidRDefault="00000000">
      <w:pPr>
        <w:pStyle w:val="Titre3"/>
        <w:widowControl w:val="0"/>
        <w:jc w:val="left"/>
      </w:pPr>
      <w:bookmarkStart w:id="9" w:name="_heading=h.4d34og8" w:colFirst="0" w:colLast="0"/>
      <w:bookmarkEnd w:id="9"/>
      <w:r>
        <w:t xml:space="preserve">DIVERSITÉ CAPACITAIRE OU DIVERSITÉ FONCTIONNELLE </w:t>
      </w:r>
    </w:p>
    <w:p w14:paraId="4E1AFF05" w14:textId="77777777" w:rsidR="00BF02D1" w:rsidRDefault="00000000">
      <w:pPr>
        <w:widowControl w:val="0"/>
        <w:spacing w:before="400"/>
        <w:jc w:val="left"/>
        <w:rPr>
          <w:color w:val="131A45"/>
        </w:rPr>
      </w:pPr>
      <w:r>
        <w:rPr>
          <w:color w:val="131A45"/>
        </w:rPr>
        <w:t xml:space="preserve">Ces termes sont utilisés pour mentionner et regrouper sous une même appellation les personnes s/Sourdes, aveugles, en situation de handicap, </w:t>
      </w:r>
      <w:proofErr w:type="spellStart"/>
      <w:r>
        <w:rPr>
          <w:color w:val="131A45"/>
        </w:rPr>
        <w:t>neuroatypiques</w:t>
      </w:r>
      <w:proofErr w:type="spellEnd"/>
      <w:r>
        <w:rPr>
          <w:color w:val="131A45"/>
        </w:rPr>
        <w:t xml:space="preserve"> et </w:t>
      </w:r>
      <w:proofErr w:type="spellStart"/>
      <w:r>
        <w:rPr>
          <w:color w:val="131A45"/>
        </w:rPr>
        <w:t>psychoatypiques</w:t>
      </w:r>
      <w:proofErr w:type="spellEnd"/>
      <w:r>
        <w:rPr>
          <w:color w:val="131A45"/>
        </w:rPr>
        <w:t>.</w:t>
      </w:r>
    </w:p>
    <w:p w14:paraId="4E1AFF06" w14:textId="77777777" w:rsidR="00BF02D1" w:rsidRDefault="00000000">
      <w:pPr>
        <w:widowControl w:val="0"/>
        <w:jc w:val="left"/>
        <w:rPr>
          <w:color w:val="131A45"/>
        </w:rPr>
      </w:pPr>
      <w:r>
        <w:rPr>
          <w:color w:val="131A45"/>
        </w:rPr>
        <w:lastRenderedPageBreak/>
        <w:t>Depuis quelques années, le terme le plus souvent utilisé dans le contexte universitaire est « diversité capacitaire » et on voit cette appellation de plus en plus utilisée dans les médias.</w:t>
      </w:r>
    </w:p>
    <w:p w14:paraId="4E1AFF07" w14:textId="77777777" w:rsidR="00BF02D1" w:rsidRDefault="00000000">
      <w:pPr>
        <w:widowControl w:val="0"/>
        <w:spacing w:before="400"/>
        <w:jc w:val="left"/>
        <w:rPr>
          <w:color w:val="131A45"/>
        </w:rPr>
      </w:pPr>
      <w:r>
        <w:rPr>
          <w:color w:val="131A45"/>
        </w:rPr>
        <w:t xml:space="preserve">Nous préférons personnellement le terme « diversité fonctionnelle », suivant la suggestion de la compagnie Corpuscule Danse, afin d’éviter de tout réduire à une question de « capacité ». </w:t>
      </w:r>
    </w:p>
    <w:p w14:paraId="4E1AFF08" w14:textId="77777777" w:rsidR="00BF02D1" w:rsidRDefault="00000000">
      <w:pPr>
        <w:widowControl w:val="0"/>
        <w:spacing w:before="400"/>
        <w:jc w:val="left"/>
        <w:rPr>
          <w:color w:val="131A45"/>
        </w:rPr>
      </w:pPr>
      <w:r>
        <w:rPr>
          <w:color w:val="131A45"/>
        </w:rPr>
        <w:t>Il n’y a néanmoins pas de mauvaise réponse. Les deux expressions sont acceptées.</w:t>
      </w:r>
    </w:p>
    <w:p w14:paraId="4E1AFF09" w14:textId="77777777" w:rsidR="00BF02D1" w:rsidRDefault="00000000">
      <w:pPr>
        <w:pStyle w:val="Titre3"/>
        <w:jc w:val="left"/>
      </w:pPr>
      <w:bookmarkStart w:id="10" w:name="_heading=h.2s8eyo1" w:colFirst="0" w:colLast="0"/>
      <w:bookmarkEnd w:id="10"/>
      <w:r>
        <w:t>QUELQUES AUTRES CONCEPTS À CONNAÎTRE</w:t>
      </w:r>
    </w:p>
    <w:p w14:paraId="4E1AFF0A" w14:textId="77777777" w:rsidR="00BF02D1" w:rsidRDefault="00000000">
      <w:pPr>
        <w:widowControl w:val="0"/>
        <w:numPr>
          <w:ilvl w:val="0"/>
          <w:numId w:val="69"/>
        </w:numPr>
        <w:spacing w:before="400"/>
        <w:jc w:val="left"/>
        <w:rPr>
          <w:color w:val="131A45"/>
        </w:rPr>
      </w:pPr>
      <w:proofErr w:type="gramStart"/>
      <w:r>
        <w:rPr>
          <w:color w:val="131A45"/>
        </w:rPr>
        <w:t>s</w:t>
      </w:r>
      <w:proofErr w:type="gramEnd"/>
      <w:r>
        <w:rPr>
          <w:color w:val="131A45"/>
        </w:rPr>
        <w:t xml:space="preserve">/Sourd (ou S/sourd) : Cette façon de nommer cette communauté reconnaît que la </w:t>
      </w:r>
      <w:proofErr w:type="spellStart"/>
      <w:r>
        <w:rPr>
          <w:color w:val="131A45"/>
        </w:rPr>
        <w:t>surditude</w:t>
      </w:r>
      <w:proofErr w:type="spellEnd"/>
      <w:r>
        <w:rPr>
          <w:color w:val="131A45"/>
        </w:rPr>
        <w:t xml:space="preserve"> (l’état d’être sourd, à comparer à surdité qui désigne l’état médical) n'est pas une situation de handicap, mais plutôt l’appartenance à une minorité linguistique et culturelle. Nous utilisons le S majuscule pour parler de la culture Sourde, qui va au-delà de l’adjectif sourd (avec un s minuscule) et qui a ses propres langues, caractéristiques, richesses et référents. </w:t>
      </w:r>
    </w:p>
    <w:p w14:paraId="4E1AFF0B" w14:textId="77777777" w:rsidR="00BF02D1" w:rsidRDefault="00000000">
      <w:pPr>
        <w:widowControl w:val="0"/>
        <w:numPr>
          <w:ilvl w:val="0"/>
          <w:numId w:val="69"/>
        </w:numPr>
        <w:jc w:val="left"/>
        <w:rPr>
          <w:color w:val="131A45"/>
        </w:rPr>
      </w:pPr>
      <w:r>
        <w:rPr>
          <w:color w:val="131A45"/>
        </w:rPr>
        <w:t>C’est d’ailleurs langue des signes, et non langage des signes. La langue des signes québécoise (LSQ), comme les 120 autres langues des signes recensées à l’international, a un vocabulaire, une grammaire et un grand nombre de subtilités, ce qui en fait une langue complète.</w:t>
      </w:r>
    </w:p>
    <w:p w14:paraId="4E1AFF0C" w14:textId="77777777" w:rsidR="00BF02D1" w:rsidRDefault="00000000">
      <w:pPr>
        <w:widowControl w:val="0"/>
        <w:numPr>
          <w:ilvl w:val="0"/>
          <w:numId w:val="69"/>
        </w:numPr>
        <w:jc w:val="left"/>
        <w:rPr>
          <w:color w:val="131A45"/>
        </w:rPr>
      </w:pPr>
      <w:proofErr w:type="gramStart"/>
      <w:r>
        <w:rPr>
          <w:color w:val="131A45"/>
        </w:rPr>
        <w:t>a</w:t>
      </w:r>
      <w:proofErr w:type="gramEnd"/>
      <w:r>
        <w:rPr>
          <w:color w:val="131A45"/>
        </w:rPr>
        <w:t>/Autisme : De la même façon que pour s/Sourd, de plus en plus de personnes a/Autistes revendiquent que l’autisme ne devrait pas être vu comme une situation de handicap mais définit une identité.</w:t>
      </w:r>
    </w:p>
    <w:p w14:paraId="4E1AFF0D" w14:textId="77777777" w:rsidR="00BF02D1" w:rsidRDefault="00000000">
      <w:pPr>
        <w:widowControl w:val="0"/>
        <w:numPr>
          <w:ilvl w:val="0"/>
          <w:numId w:val="69"/>
        </w:numPr>
        <w:jc w:val="left"/>
        <w:rPr>
          <w:color w:val="131A45"/>
        </w:rPr>
      </w:pPr>
      <w:r>
        <w:rPr>
          <w:color w:val="131A45"/>
        </w:rPr>
        <w:t xml:space="preserve">Plusieurs associations conseillent de ne pas utiliser </w:t>
      </w:r>
      <w:r>
        <w:t>« </w:t>
      </w:r>
      <w:r>
        <w:rPr>
          <w:color w:val="131A45"/>
        </w:rPr>
        <w:t>personnes avec un TSA</w:t>
      </w:r>
      <w:r>
        <w:t> »</w:t>
      </w:r>
      <w:r>
        <w:rPr>
          <w:color w:val="131A45"/>
        </w:rPr>
        <w:t xml:space="preserve"> (trouble du spectre de l’autisme) ni </w:t>
      </w:r>
      <w:r>
        <w:t>« </w:t>
      </w:r>
      <w:r>
        <w:rPr>
          <w:color w:val="131A45"/>
        </w:rPr>
        <w:t>personne TSA</w:t>
      </w:r>
      <w:r>
        <w:t> »</w:t>
      </w:r>
      <w:r>
        <w:rPr>
          <w:color w:val="131A45"/>
        </w:rPr>
        <w:t xml:space="preserve">. Personne a/Autiste, personne </w:t>
      </w:r>
      <w:proofErr w:type="spellStart"/>
      <w:r>
        <w:rPr>
          <w:color w:val="131A45"/>
        </w:rPr>
        <w:t>neuroatypique</w:t>
      </w:r>
      <w:proofErr w:type="spellEnd"/>
      <w:r>
        <w:rPr>
          <w:color w:val="131A45"/>
        </w:rPr>
        <w:t xml:space="preserve"> ou personne neurodivergente sont de meilleurs choix. L’objectif est de s’éloigner du mot « trouble » qui a une connotation négative.</w:t>
      </w:r>
      <w:r>
        <w:br w:type="page"/>
      </w:r>
    </w:p>
    <w:p w14:paraId="4E1AFF0E" w14:textId="769E6D5A" w:rsidR="00BF02D1" w:rsidRDefault="00C23744">
      <w:pPr>
        <w:pStyle w:val="Titre2"/>
        <w:widowControl w:val="0"/>
        <w:spacing w:before="600"/>
        <w:ind w:right="360"/>
      </w:pPr>
      <w:bookmarkStart w:id="11" w:name="_heading=h.17dp8vu" w:colFirst="0" w:colLast="0"/>
      <w:bookmarkEnd w:id="11"/>
      <w:r>
        <w:rPr>
          <w:noProof/>
        </w:rPr>
        <w:lastRenderedPageBreak/>
        <w:drawing>
          <wp:anchor distT="0" distB="0" distL="0" distR="0" simplePos="0" relativeHeight="251671552" behindDoc="1" locked="0" layoutInCell="1" hidden="0" allowOverlap="1" wp14:anchorId="4E1B0115" wp14:editId="562B5F4B">
            <wp:simplePos x="0" y="0"/>
            <wp:positionH relativeFrom="page">
              <wp:posOffset>5829300</wp:posOffset>
            </wp:positionH>
            <wp:positionV relativeFrom="page">
              <wp:posOffset>695162</wp:posOffset>
            </wp:positionV>
            <wp:extent cx="4492625" cy="600075"/>
            <wp:effectExtent l="0" t="0" r="3175" b="0"/>
            <wp:wrapNone/>
            <wp:docPr id="13060283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492625" cy="600075"/>
                    </a:xfrm>
                    <a:prstGeom prst="rect">
                      <a:avLst/>
                    </a:prstGeom>
                    <a:ln/>
                  </pic:spPr>
                </pic:pic>
              </a:graphicData>
            </a:graphic>
          </wp:anchor>
        </w:drawing>
      </w:r>
      <w:r>
        <w:rPr>
          <w:noProof/>
        </w:rPr>
        <w:drawing>
          <wp:anchor distT="0" distB="0" distL="0" distR="0" simplePos="0" relativeHeight="251672576" behindDoc="1" locked="0" layoutInCell="1" hidden="0" allowOverlap="1" wp14:anchorId="4E1B0117" wp14:editId="36D61DFE">
            <wp:simplePos x="0" y="0"/>
            <wp:positionH relativeFrom="page">
              <wp:posOffset>2943225</wp:posOffset>
            </wp:positionH>
            <wp:positionV relativeFrom="page">
              <wp:posOffset>694527</wp:posOffset>
            </wp:positionV>
            <wp:extent cx="4492625" cy="600075"/>
            <wp:effectExtent l="0" t="0" r="3175" b="0"/>
            <wp:wrapNone/>
            <wp:docPr id="130602839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492625" cy="600075"/>
                    </a:xfrm>
                    <a:prstGeom prst="rect">
                      <a:avLst/>
                    </a:prstGeom>
                    <a:ln/>
                  </pic:spPr>
                </pic:pic>
              </a:graphicData>
            </a:graphic>
          </wp:anchor>
        </w:drawing>
      </w:r>
      <w:r>
        <w:t>En quoi consiste l’accessibilité ?</w:t>
      </w:r>
    </w:p>
    <w:p w14:paraId="4E1AFF0F" w14:textId="77777777" w:rsidR="00BF02D1" w:rsidRDefault="00000000">
      <w:pPr>
        <w:widowControl w:val="0"/>
        <w:jc w:val="left"/>
        <w:rPr>
          <w:i/>
          <w:color w:val="131A45"/>
        </w:rPr>
      </w:pPr>
      <w:r>
        <w:rPr>
          <w:color w:val="131A45"/>
        </w:rPr>
        <w:t>L’Enquête canadienne sur l’incapacité (2022) indique que 27 % des Canadiennes et Canadiens de 15 ans et plus vivent avec une incapacité qui les limite dans leurs activités quotidiennes. Cela équivaut à plus de 8,5 millions de personnes au Canada. Des statistiques à l’international mentionnent d’ailleurs des pourcentages similaires.</w:t>
      </w:r>
    </w:p>
    <w:p w14:paraId="4E1AFF10" w14:textId="77777777" w:rsidR="00BF02D1" w:rsidRDefault="00000000">
      <w:pPr>
        <w:widowControl w:val="0"/>
        <w:spacing w:before="400"/>
        <w:jc w:val="left"/>
        <w:rPr>
          <w:color w:val="131A45"/>
        </w:rPr>
      </w:pPr>
      <w:r>
        <w:rPr>
          <w:color w:val="131A45"/>
        </w:rPr>
        <w:t>De plus, ces chiffres ne calculent pas :</w:t>
      </w:r>
    </w:p>
    <w:p w14:paraId="4E1AFF11" w14:textId="77777777" w:rsidR="00BF02D1" w:rsidRDefault="00000000">
      <w:pPr>
        <w:widowControl w:val="0"/>
        <w:numPr>
          <w:ilvl w:val="0"/>
          <w:numId w:val="9"/>
        </w:numPr>
        <w:jc w:val="left"/>
        <w:rPr>
          <w:color w:val="131A45"/>
        </w:rPr>
      </w:pPr>
      <w:r>
        <w:rPr>
          <w:color w:val="131A45"/>
        </w:rPr>
        <w:t xml:space="preserve">Les personnes de moins de 15 ans </w:t>
      </w:r>
    </w:p>
    <w:p w14:paraId="4E1AFF12" w14:textId="77777777" w:rsidR="00BF02D1" w:rsidRDefault="00000000">
      <w:pPr>
        <w:widowControl w:val="0"/>
        <w:numPr>
          <w:ilvl w:val="0"/>
          <w:numId w:val="9"/>
        </w:numPr>
        <w:jc w:val="left"/>
        <w:rPr>
          <w:color w:val="131A45"/>
        </w:rPr>
      </w:pPr>
      <w:r>
        <w:rPr>
          <w:color w:val="131A45"/>
        </w:rPr>
        <w:t>Les personnes qui ne dévoilent pas leur(s) condition(s), un enjeu réel dans l’estimation des personnes vivant avec une situation de handicap</w:t>
      </w:r>
    </w:p>
    <w:p w14:paraId="4E1AFF13" w14:textId="77777777" w:rsidR="00BF02D1" w:rsidRDefault="00000000">
      <w:pPr>
        <w:widowControl w:val="0"/>
        <w:numPr>
          <w:ilvl w:val="0"/>
          <w:numId w:val="9"/>
        </w:numPr>
        <w:jc w:val="left"/>
        <w:rPr>
          <w:color w:val="131A45"/>
        </w:rPr>
      </w:pPr>
      <w:r>
        <w:rPr>
          <w:color w:val="131A45"/>
        </w:rPr>
        <w:t xml:space="preserve">Certaines situations de handicap moins visibles dans les enquêtes et recensements, particulièrement celles reliées aux troubles de santé mentale, aux maladies chroniques et aux troubles anxieux. Pourtant, ces conditions ont un impact important sur la vie des personnes qu’elles affectent. </w:t>
      </w:r>
    </w:p>
    <w:p w14:paraId="4E1AFF14" w14:textId="77777777" w:rsidR="00BF02D1" w:rsidRDefault="00000000">
      <w:pPr>
        <w:widowControl w:val="0"/>
        <w:spacing w:before="600"/>
        <w:jc w:val="left"/>
        <w:rPr>
          <w:color w:val="131A45"/>
        </w:rPr>
      </w:pPr>
      <w:r>
        <w:rPr>
          <w:color w:val="131A45"/>
        </w:rPr>
        <w:t>Au-delà des conditions dites médicales, il y a aussi de nombreux enjeux pouvant affecter la facilité d'accès aux activités culturelles :</w:t>
      </w:r>
    </w:p>
    <w:p w14:paraId="4E1AFF15" w14:textId="77777777" w:rsidR="00BF02D1" w:rsidRDefault="00000000">
      <w:pPr>
        <w:widowControl w:val="0"/>
        <w:numPr>
          <w:ilvl w:val="0"/>
          <w:numId w:val="31"/>
        </w:numPr>
        <w:jc w:val="left"/>
        <w:rPr>
          <w:color w:val="131A45"/>
        </w:rPr>
      </w:pPr>
      <w:r>
        <w:rPr>
          <w:color w:val="131A45"/>
        </w:rPr>
        <w:t>Les réalités d’horaire et d’obligations des parents, proches aidantes et aidants et/ou gardiennes légales et gardiens légaux</w:t>
      </w:r>
    </w:p>
    <w:p w14:paraId="4E1AFF16" w14:textId="77777777" w:rsidR="00BF02D1" w:rsidRDefault="00000000">
      <w:pPr>
        <w:widowControl w:val="0"/>
        <w:numPr>
          <w:ilvl w:val="0"/>
          <w:numId w:val="31"/>
        </w:numPr>
        <w:jc w:val="left"/>
        <w:rPr>
          <w:color w:val="131A45"/>
        </w:rPr>
      </w:pPr>
      <w:r>
        <w:rPr>
          <w:color w:val="131A45"/>
        </w:rPr>
        <w:t>Le faible nombre de productions en arts vivants sur certains territoires</w:t>
      </w:r>
    </w:p>
    <w:p w14:paraId="4E1AFF17" w14:textId="77777777" w:rsidR="00BF02D1" w:rsidRDefault="00000000">
      <w:pPr>
        <w:widowControl w:val="0"/>
        <w:numPr>
          <w:ilvl w:val="0"/>
          <w:numId w:val="31"/>
        </w:numPr>
        <w:jc w:val="left"/>
        <w:rPr>
          <w:color w:val="131A45"/>
        </w:rPr>
      </w:pPr>
      <w:r>
        <w:rPr>
          <w:color w:val="131A45"/>
        </w:rPr>
        <w:t>La situation financière</w:t>
      </w:r>
    </w:p>
    <w:p w14:paraId="4E1AFF18" w14:textId="77777777" w:rsidR="00BF02D1" w:rsidRDefault="00000000">
      <w:pPr>
        <w:widowControl w:val="0"/>
        <w:numPr>
          <w:ilvl w:val="0"/>
          <w:numId w:val="31"/>
        </w:numPr>
        <w:jc w:val="left"/>
        <w:rPr>
          <w:color w:val="131A45"/>
        </w:rPr>
      </w:pPr>
      <w:r>
        <w:rPr>
          <w:color w:val="131A45"/>
        </w:rPr>
        <w:t>Les lieux ou les mobiliers inadaptés pour certaines situations et diversités (par exemple, les diversités dites corporelle ou fonctionnelle)</w:t>
      </w:r>
    </w:p>
    <w:p w14:paraId="4E1AFF19" w14:textId="77777777" w:rsidR="00BF02D1" w:rsidRDefault="00000000">
      <w:pPr>
        <w:widowControl w:val="0"/>
        <w:numPr>
          <w:ilvl w:val="0"/>
          <w:numId w:val="31"/>
        </w:numPr>
        <w:jc w:val="left"/>
        <w:rPr>
          <w:color w:val="131A45"/>
        </w:rPr>
      </w:pPr>
      <w:r>
        <w:rPr>
          <w:color w:val="131A45"/>
        </w:rPr>
        <w:t>L’analphabétisme</w:t>
      </w:r>
    </w:p>
    <w:p w14:paraId="4E1AFF1A" w14:textId="77777777" w:rsidR="00BF02D1" w:rsidRDefault="00000000">
      <w:pPr>
        <w:widowControl w:val="0"/>
        <w:numPr>
          <w:ilvl w:val="0"/>
          <w:numId w:val="31"/>
        </w:numPr>
        <w:jc w:val="left"/>
        <w:rPr>
          <w:color w:val="131A45"/>
        </w:rPr>
      </w:pPr>
      <w:r>
        <w:rPr>
          <w:color w:val="131A45"/>
        </w:rPr>
        <w:lastRenderedPageBreak/>
        <w:t>Le fait de vivre en situation d’itinérance</w:t>
      </w:r>
    </w:p>
    <w:p w14:paraId="4E1AFF1B" w14:textId="77777777" w:rsidR="00BF02D1" w:rsidRDefault="00000000">
      <w:pPr>
        <w:widowControl w:val="0"/>
        <w:numPr>
          <w:ilvl w:val="0"/>
          <w:numId w:val="31"/>
        </w:numPr>
        <w:jc w:val="left"/>
        <w:rPr>
          <w:color w:val="131A45"/>
        </w:rPr>
      </w:pPr>
      <w:r>
        <w:rPr>
          <w:color w:val="131A45"/>
        </w:rPr>
        <w:t>Le fait d’être en situation d’incarcération</w:t>
      </w:r>
    </w:p>
    <w:p w14:paraId="4E1AFF1C" w14:textId="77777777" w:rsidR="00BF02D1" w:rsidRDefault="00000000">
      <w:pPr>
        <w:widowControl w:val="0"/>
        <w:numPr>
          <w:ilvl w:val="0"/>
          <w:numId w:val="31"/>
        </w:numPr>
        <w:jc w:val="left"/>
        <w:rPr>
          <w:color w:val="131A45"/>
        </w:rPr>
      </w:pPr>
      <w:r>
        <w:rPr>
          <w:color w:val="131A45"/>
        </w:rPr>
        <w:t>Les degrés personnels d’énergie, une fois les obligations de la journée remplies</w:t>
      </w:r>
    </w:p>
    <w:p w14:paraId="4E1AFF1D" w14:textId="77777777" w:rsidR="00BF02D1" w:rsidRDefault="00000000">
      <w:pPr>
        <w:widowControl w:val="0"/>
        <w:numPr>
          <w:ilvl w:val="0"/>
          <w:numId w:val="31"/>
        </w:numPr>
        <w:jc w:val="left"/>
        <w:rPr>
          <w:color w:val="131A45"/>
        </w:rPr>
      </w:pPr>
      <w:r>
        <w:rPr>
          <w:color w:val="131A45"/>
        </w:rPr>
        <w:t>Le manque de transport en commun et d’accès à certains lieux</w:t>
      </w:r>
    </w:p>
    <w:p w14:paraId="4E1AFF1E" w14:textId="77777777" w:rsidR="00BF02D1" w:rsidRDefault="00000000">
      <w:pPr>
        <w:widowControl w:val="0"/>
        <w:numPr>
          <w:ilvl w:val="0"/>
          <w:numId w:val="31"/>
        </w:numPr>
        <w:jc w:val="left"/>
        <w:rPr>
          <w:color w:val="131A45"/>
        </w:rPr>
      </w:pPr>
      <w:r>
        <w:rPr>
          <w:color w:val="131A45"/>
        </w:rPr>
        <w:t>Les heures de travail atypiques</w:t>
      </w:r>
    </w:p>
    <w:p w14:paraId="4E1AFF1F" w14:textId="77777777" w:rsidR="00BF02D1" w:rsidRDefault="00000000">
      <w:pPr>
        <w:widowControl w:val="0"/>
        <w:spacing w:before="400"/>
        <w:jc w:val="left"/>
        <w:rPr>
          <w:color w:val="131A45"/>
        </w:rPr>
      </w:pPr>
      <w:r>
        <w:rPr>
          <w:color w:val="131A45"/>
        </w:rPr>
        <w:t>Beaucoup de gens sont confrontés à des obstacles qui peuvent affecter leurs activités quotidiennes et leur participation à la culture. Afin de pallier ces obstacles, des solutions d’accessibilité doivent être mises en place.</w:t>
      </w:r>
    </w:p>
    <w:p w14:paraId="4E1AFF20" w14:textId="77777777" w:rsidR="00BF02D1" w:rsidRDefault="00000000">
      <w:pPr>
        <w:pStyle w:val="Titre3"/>
        <w:jc w:val="left"/>
      </w:pPr>
      <w:bookmarkStart w:id="12" w:name="_heading=h.3rdcrjn" w:colFirst="0" w:colLast="0"/>
      <w:bookmarkEnd w:id="12"/>
      <w:r>
        <w:t>LA DÉFINITION DE L’ACCESSIBILITÉ</w:t>
      </w:r>
    </w:p>
    <w:p w14:paraId="4E1AFF21" w14:textId="77777777" w:rsidR="00BF02D1" w:rsidRDefault="00000000">
      <w:pPr>
        <w:widowControl w:val="0"/>
        <w:spacing w:before="400"/>
        <w:jc w:val="left"/>
        <w:rPr>
          <w:color w:val="131A45"/>
        </w:rPr>
      </w:pPr>
      <w:r>
        <w:rPr>
          <w:color w:val="131A45"/>
        </w:rPr>
        <w:t xml:space="preserve">Dans sa plus simple expression et selon les définitions courantes, on parle d’accessibilité quand une personne a les droits et la possibilité d'avoir accès à quelque chose. </w:t>
      </w:r>
    </w:p>
    <w:p w14:paraId="4E1AFF22" w14:textId="77777777" w:rsidR="00BF02D1" w:rsidRDefault="00000000">
      <w:pPr>
        <w:widowControl w:val="0"/>
        <w:spacing w:before="400"/>
        <w:jc w:val="left"/>
        <w:rPr>
          <w:color w:val="131A45"/>
        </w:rPr>
      </w:pPr>
      <w:r>
        <w:rPr>
          <w:color w:val="131A45"/>
        </w:rPr>
        <w:t>L’accessibilité réfère à l’accès facile d’une personne à une ressource, comme un bâtiment, un service, un événement ou un programme. Par exemple, un bâtiment est accessible aux personnes en fauteuil roulant s’il a une rampe en plus des escaliers. Cette idée s’applique à de nombreuses situations afin de supporter différents besoins.</w:t>
      </w:r>
    </w:p>
    <w:p w14:paraId="4E1AFF23" w14:textId="77777777" w:rsidR="00BF02D1" w:rsidRDefault="00000000">
      <w:pPr>
        <w:widowControl w:val="0"/>
        <w:spacing w:before="400"/>
        <w:jc w:val="left"/>
        <w:rPr>
          <w:color w:val="131A45"/>
        </w:rPr>
      </w:pPr>
      <w:r>
        <w:rPr>
          <w:color w:val="131A45"/>
        </w:rPr>
        <w:t xml:space="preserve">L’accessibilité universelle, pour sa part, incarne cette idée dans sa globalité : par souci d’équité, on aspire à un lieu, évènement ou service qui est accessible à l’ensemble de la population. </w:t>
      </w:r>
    </w:p>
    <w:p w14:paraId="4E1AFF24" w14:textId="77777777" w:rsidR="00BF02D1" w:rsidRDefault="00000000">
      <w:pPr>
        <w:pStyle w:val="Titre3"/>
        <w:widowControl w:val="0"/>
        <w:jc w:val="left"/>
      </w:pPr>
      <w:bookmarkStart w:id="13" w:name="_heading=h.26in1rg" w:colFirst="0" w:colLast="0"/>
      <w:bookmarkEnd w:id="13"/>
      <w:r>
        <w:t>ACCESSIBILITÉ OU INCLUSIVITÉ</w:t>
      </w:r>
    </w:p>
    <w:p w14:paraId="4E1AFF25" w14:textId="77777777" w:rsidR="00BF02D1" w:rsidRDefault="00000000">
      <w:pPr>
        <w:widowControl w:val="0"/>
        <w:spacing w:before="400"/>
        <w:jc w:val="left"/>
        <w:rPr>
          <w:color w:val="131A45"/>
        </w:rPr>
      </w:pPr>
      <w:r>
        <w:rPr>
          <w:color w:val="131A45"/>
        </w:rPr>
        <w:t>En fonction des définitions et des experts consultés, les différences et similitudes entre accessibilité et inclusivité changent.</w:t>
      </w:r>
    </w:p>
    <w:p w14:paraId="4E1AFF26" w14:textId="77777777" w:rsidR="00BF02D1" w:rsidRDefault="00000000">
      <w:pPr>
        <w:widowControl w:val="0"/>
        <w:spacing w:before="400"/>
        <w:jc w:val="left"/>
        <w:rPr>
          <w:color w:val="131A45"/>
        </w:rPr>
      </w:pPr>
      <w:r>
        <w:rPr>
          <w:color w:val="131A45"/>
        </w:rPr>
        <w:lastRenderedPageBreak/>
        <w:t>L’accessibilité est généralement définie comme un principe qui vise spécifiquement à l’adaptation pour les personnes dites de la diversité fonctionnelle, alors que l’inclusivité fait référence aux communautés dites marginalisées dans leur ensemble.</w:t>
      </w:r>
    </w:p>
    <w:p w14:paraId="4E1AFF27" w14:textId="77777777" w:rsidR="00BF02D1" w:rsidRDefault="00000000">
      <w:pPr>
        <w:widowControl w:val="0"/>
        <w:spacing w:before="400"/>
        <w:jc w:val="left"/>
        <w:rPr>
          <w:color w:val="131A45"/>
        </w:rPr>
      </w:pPr>
      <w:r>
        <w:rPr>
          <w:color w:val="131A45"/>
        </w:rPr>
        <w:t>Cependant, pour le présent outil de réflexion, nous utiliserons le mot accessibilité pour regrouper tout manquement qui entrave l’accès à une personne, peu importe à quelle(s) communauté(s) cette personne s’identifie.</w:t>
      </w:r>
    </w:p>
    <w:p w14:paraId="4E1AFF28" w14:textId="77777777" w:rsidR="00BF02D1" w:rsidRDefault="00000000">
      <w:pPr>
        <w:pStyle w:val="Titre3"/>
        <w:widowControl w:val="0"/>
        <w:jc w:val="left"/>
      </w:pPr>
      <w:bookmarkStart w:id="14" w:name="_heading=h.lnxbz9" w:colFirst="0" w:colLast="0"/>
      <w:bookmarkEnd w:id="14"/>
      <w:r>
        <w:t>POINTS IMPORTANTS SUR L’ACCESSIBILITÉ</w:t>
      </w:r>
    </w:p>
    <w:p w14:paraId="4E1AFF29" w14:textId="77777777" w:rsidR="00BF02D1" w:rsidRDefault="00000000">
      <w:pPr>
        <w:widowControl w:val="0"/>
        <w:spacing w:before="400"/>
        <w:jc w:val="left"/>
        <w:rPr>
          <w:color w:val="131A45"/>
        </w:rPr>
      </w:pPr>
      <w:r>
        <w:rPr>
          <w:color w:val="131A45"/>
        </w:rPr>
        <w:t>Nous voulons mettre en lumière des aspects de l’accessibilité qui nous semblent primordiaux et qui ne sont pas toujours mis de l’avant dans les définitions courantes.</w:t>
      </w:r>
    </w:p>
    <w:p w14:paraId="4E1AFF2A" w14:textId="77777777" w:rsidR="00BF02D1" w:rsidRDefault="00000000">
      <w:pPr>
        <w:widowControl w:val="0"/>
        <w:numPr>
          <w:ilvl w:val="0"/>
          <w:numId w:val="32"/>
        </w:numPr>
        <w:spacing w:before="400"/>
        <w:jc w:val="left"/>
        <w:rPr>
          <w:color w:val="131A45"/>
        </w:rPr>
      </w:pPr>
      <w:r>
        <w:rPr>
          <w:color w:val="131A45"/>
        </w:rPr>
        <w:t xml:space="preserve">Une bonne accessibilité vise à garantir la possibilité à toute personne de prendre part à la vie culturelle, et ce, </w:t>
      </w:r>
      <w:r>
        <w:rPr>
          <w:b/>
          <w:color w:val="131A45"/>
        </w:rPr>
        <w:t xml:space="preserve">de </w:t>
      </w:r>
      <w:r>
        <w:rPr>
          <w:rFonts w:ascii="Lexend SemiBold" w:eastAsia="Lexend SemiBold" w:hAnsi="Lexend SemiBold" w:cs="Lexend SemiBold"/>
          <w:color w:val="131A45"/>
        </w:rPr>
        <w:t>manière autonome et bénéficiant d’un accueil bienveillant</w:t>
      </w:r>
      <w:r>
        <w:rPr>
          <w:color w:val="131A45"/>
        </w:rPr>
        <w:t xml:space="preserve">. </w:t>
      </w:r>
    </w:p>
    <w:p w14:paraId="4E1AFF2B" w14:textId="77777777" w:rsidR="00BF02D1" w:rsidRDefault="00000000">
      <w:pPr>
        <w:widowControl w:val="0"/>
        <w:ind w:left="720"/>
        <w:jc w:val="left"/>
        <w:rPr>
          <w:color w:val="131A45"/>
        </w:rPr>
      </w:pPr>
      <w:r>
        <w:rPr>
          <w:color w:val="131A45"/>
        </w:rPr>
        <w:t xml:space="preserve">Il n’est pas acceptable de : </w:t>
      </w:r>
    </w:p>
    <w:p w14:paraId="4E1AFF2C" w14:textId="77777777" w:rsidR="00BF02D1" w:rsidRDefault="00000000">
      <w:pPr>
        <w:widowControl w:val="0"/>
        <w:numPr>
          <w:ilvl w:val="1"/>
          <w:numId w:val="32"/>
        </w:numPr>
        <w:spacing w:before="120"/>
        <w:jc w:val="left"/>
        <w:rPr>
          <w:color w:val="131A45"/>
        </w:rPr>
      </w:pPr>
      <w:r>
        <w:rPr>
          <w:color w:val="131A45"/>
        </w:rPr>
        <w:t>Appliquer des méthodes d’accessibilité hypercomplexes, qui transfèrent le fardeau à une personne pour avoir « accès à son accessibilité ».</w:t>
      </w:r>
    </w:p>
    <w:p w14:paraId="4E1AFF2D" w14:textId="77777777" w:rsidR="00BF02D1" w:rsidRDefault="00000000">
      <w:pPr>
        <w:widowControl w:val="0"/>
        <w:numPr>
          <w:ilvl w:val="1"/>
          <w:numId w:val="32"/>
        </w:numPr>
        <w:jc w:val="left"/>
        <w:rPr>
          <w:color w:val="131A45"/>
        </w:rPr>
      </w:pPr>
      <w:r>
        <w:rPr>
          <w:color w:val="131A45"/>
        </w:rPr>
        <w:t>Obliger une personne à tolérer des contacts physiques, comme la transporter hors de son fauteuil roulant ou de la soulever, afin d’atteindre des lieux dits « accessibles ».</w:t>
      </w:r>
    </w:p>
    <w:p w14:paraId="4E1AFF2E" w14:textId="77777777" w:rsidR="00BF02D1" w:rsidRDefault="00000000">
      <w:pPr>
        <w:widowControl w:val="0"/>
        <w:numPr>
          <w:ilvl w:val="1"/>
          <w:numId w:val="32"/>
        </w:numPr>
        <w:jc w:val="left"/>
        <w:rPr>
          <w:color w:val="131A45"/>
        </w:rPr>
      </w:pPr>
      <w:r>
        <w:rPr>
          <w:color w:val="131A45"/>
        </w:rPr>
        <w:t>Ne pas obtenir le consentement d’une personne dite de la diversité fonctionnelle avant de l’aider. Cela peut être considéré comme violent pour les personnes qui sont forcées à se faire aider.</w:t>
      </w:r>
    </w:p>
    <w:p w14:paraId="4E1AFF2F" w14:textId="77777777" w:rsidR="00BF02D1" w:rsidRDefault="00000000">
      <w:pPr>
        <w:widowControl w:val="0"/>
        <w:numPr>
          <w:ilvl w:val="1"/>
          <w:numId w:val="32"/>
        </w:numPr>
        <w:jc w:val="left"/>
        <w:rPr>
          <w:color w:val="131A45"/>
        </w:rPr>
      </w:pPr>
      <w:r>
        <w:rPr>
          <w:color w:val="131A45"/>
        </w:rPr>
        <w:t xml:space="preserve">Obliger une personne à déclarer sa situation de handicap pour obtenir de l’aide. </w:t>
      </w:r>
    </w:p>
    <w:p w14:paraId="4E1AFF30" w14:textId="77777777" w:rsidR="00BF02D1" w:rsidRDefault="00000000">
      <w:pPr>
        <w:widowControl w:val="0"/>
        <w:numPr>
          <w:ilvl w:val="1"/>
          <w:numId w:val="32"/>
        </w:numPr>
        <w:jc w:val="left"/>
        <w:rPr>
          <w:color w:val="131A45"/>
        </w:rPr>
      </w:pPr>
      <w:r>
        <w:rPr>
          <w:color w:val="131A45"/>
        </w:rPr>
        <w:t>Adopter toute autre pratique qui ne met pas les besoins, le niveau de confort et le respect des personnes invitées en priorité.</w:t>
      </w:r>
    </w:p>
    <w:p w14:paraId="4E1AFF31" w14:textId="77777777" w:rsidR="00BF02D1" w:rsidRDefault="00000000">
      <w:pPr>
        <w:widowControl w:val="0"/>
        <w:numPr>
          <w:ilvl w:val="0"/>
          <w:numId w:val="32"/>
        </w:numPr>
        <w:jc w:val="left"/>
        <w:rPr>
          <w:color w:val="131A45"/>
        </w:rPr>
      </w:pPr>
      <w:r>
        <w:rPr>
          <w:color w:val="131A45"/>
        </w:rPr>
        <w:lastRenderedPageBreak/>
        <w:t xml:space="preserve">L’accessibilité des arts vivants </w:t>
      </w:r>
      <w:r>
        <w:rPr>
          <w:rFonts w:ascii="Lexend SemiBold" w:eastAsia="Lexend SemiBold" w:hAnsi="Lexend SemiBold" w:cs="Lexend SemiBold"/>
          <w:color w:val="131A45"/>
        </w:rPr>
        <w:t xml:space="preserve">doit aller plus loin que la notion d’aménagement de l’espace et des lieux </w:t>
      </w:r>
      <w:r>
        <w:rPr>
          <w:color w:val="131A45"/>
        </w:rPr>
        <w:t>et doit aussi s’étendre à :</w:t>
      </w:r>
    </w:p>
    <w:p w14:paraId="4E1AFF32" w14:textId="77777777" w:rsidR="00BF02D1" w:rsidRDefault="00000000">
      <w:pPr>
        <w:widowControl w:val="0"/>
        <w:numPr>
          <w:ilvl w:val="1"/>
          <w:numId w:val="32"/>
        </w:numPr>
        <w:spacing w:before="100"/>
        <w:ind w:left="1434" w:hanging="357"/>
        <w:jc w:val="left"/>
        <w:rPr>
          <w:color w:val="131A45"/>
        </w:rPr>
      </w:pPr>
      <w:r>
        <w:rPr>
          <w:color w:val="131A45"/>
        </w:rPr>
        <w:t>L'accueil des publics</w:t>
      </w:r>
    </w:p>
    <w:p w14:paraId="4E1AFF33" w14:textId="77777777" w:rsidR="00BF02D1" w:rsidRDefault="00000000">
      <w:pPr>
        <w:widowControl w:val="0"/>
        <w:numPr>
          <w:ilvl w:val="1"/>
          <w:numId w:val="32"/>
        </w:numPr>
        <w:jc w:val="left"/>
        <w:rPr>
          <w:color w:val="131A45"/>
        </w:rPr>
      </w:pPr>
      <w:r>
        <w:rPr>
          <w:color w:val="131A45"/>
        </w:rPr>
        <w:t>La localisation des lieux et les possibilités de transport vers ceux-ci</w:t>
      </w:r>
    </w:p>
    <w:p w14:paraId="4E1AFF34" w14:textId="77777777" w:rsidR="00BF02D1" w:rsidRDefault="00000000">
      <w:pPr>
        <w:widowControl w:val="0"/>
        <w:numPr>
          <w:ilvl w:val="1"/>
          <w:numId w:val="32"/>
        </w:numPr>
        <w:jc w:val="left"/>
        <w:rPr>
          <w:color w:val="131A45"/>
        </w:rPr>
      </w:pPr>
      <w:r>
        <w:rPr>
          <w:color w:val="131A45"/>
        </w:rPr>
        <w:t>L’organisation logistique des évènements</w:t>
      </w:r>
    </w:p>
    <w:p w14:paraId="4E1AFF35" w14:textId="77777777" w:rsidR="00BF02D1" w:rsidRDefault="00000000">
      <w:pPr>
        <w:widowControl w:val="0"/>
        <w:numPr>
          <w:ilvl w:val="1"/>
          <w:numId w:val="32"/>
        </w:numPr>
        <w:jc w:val="left"/>
        <w:rPr>
          <w:color w:val="131A45"/>
        </w:rPr>
      </w:pPr>
      <w:r>
        <w:rPr>
          <w:color w:val="131A45"/>
        </w:rPr>
        <w:t>La billetterie et les modalités de paiement</w:t>
      </w:r>
    </w:p>
    <w:p w14:paraId="4E1AFF36" w14:textId="77777777" w:rsidR="00BF02D1" w:rsidRDefault="00000000">
      <w:pPr>
        <w:widowControl w:val="0"/>
        <w:numPr>
          <w:ilvl w:val="1"/>
          <w:numId w:val="32"/>
        </w:numPr>
        <w:jc w:val="left"/>
        <w:rPr>
          <w:color w:val="131A45"/>
        </w:rPr>
      </w:pPr>
      <w:r>
        <w:rPr>
          <w:color w:val="131A45"/>
        </w:rPr>
        <w:t>Les outils numériques et les communications</w:t>
      </w:r>
    </w:p>
    <w:p w14:paraId="4E1AFF37" w14:textId="77777777" w:rsidR="00BF02D1" w:rsidRDefault="00000000">
      <w:pPr>
        <w:widowControl w:val="0"/>
        <w:numPr>
          <w:ilvl w:val="1"/>
          <w:numId w:val="32"/>
        </w:numPr>
        <w:jc w:val="left"/>
        <w:rPr>
          <w:color w:val="131A45"/>
        </w:rPr>
      </w:pPr>
      <w:r>
        <w:rPr>
          <w:color w:val="131A45"/>
        </w:rPr>
        <w:t>La création même des œuvres artistiques</w:t>
      </w:r>
    </w:p>
    <w:p w14:paraId="4E1AFF38" w14:textId="77777777" w:rsidR="00BF02D1" w:rsidRDefault="00000000">
      <w:pPr>
        <w:widowControl w:val="0"/>
        <w:numPr>
          <w:ilvl w:val="0"/>
          <w:numId w:val="32"/>
        </w:numPr>
        <w:spacing w:before="520"/>
        <w:jc w:val="left"/>
        <w:rPr>
          <w:color w:val="131A45"/>
        </w:rPr>
      </w:pPr>
      <w:r>
        <w:rPr>
          <w:color w:val="131A45"/>
        </w:rPr>
        <w:t xml:space="preserve">Chaque personne a le </w:t>
      </w:r>
      <w:r>
        <w:rPr>
          <w:rFonts w:ascii="Lexend SemiBold" w:eastAsia="Lexend SemiBold" w:hAnsi="Lexend SemiBold" w:cs="Lexend SemiBold"/>
          <w:color w:val="131A45"/>
        </w:rPr>
        <w:t>droit à l’autodétermination de ses besoins et préférences</w:t>
      </w:r>
      <w:r>
        <w:rPr>
          <w:color w:val="131A45"/>
        </w:rPr>
        <w:t>, bien au-delà de tout diagnostic ou appartenance à une communauté.</w:t>
      </w:r>
    </w:p>
    <w:p w14:paraId="4E1AFF39" w14:textId="77777777" w:rsidR="00BF02D1" w:rsidRDefault="00000000">
      <w:pPr>
        <w:widowControl w:val="0"/>
        <w:numPr>
          <w:ilvl w:val="1"/>
          <w:numId w:val="32"/>
        </w:numPr>
        <w:spacing w:before="100"/>
        <w:ind w:left="1434" w:hanging="357"/>
        <w:jc w:val="left"/>
        <w:rPr>
          <w:color w:val="131A45"/>
        </w:rPr>
      </w:pPr>
      <w:r>
        <w:rPr>
          <w:color w:val="131A45"/>
        </w:rPr>
        <w:t xml:space="preserve">L’accessibilité n’est pas là pour assister des conditions précises, mais pour épauler des besoins ressentis par des individus. </w:t>
      </w:r>
    </w:p>
    <w:p w14:paraId="4E1AFF3A" w14:textId="77777777" w:rsidR="00BF02D1" w:rsidRDefault="00000000">
      <w:pPr>
        <w:widowControl w:val="0"/>
        <w:numPr>
          <w:ilvl w:val="1"/>
          <w:numId w:val="32"/>
        </w:numPr>
        <w:jc w:val="left"/>
        <w:rPr>
          <w:color w:val="131A45"/>
        </w:rPr>
      </w:pPr>
      <w:r>
        <w:rPr>
          <w:color w:val="131A45"/>
        </w:rPr>
        <w:t xml:space="preserve">Se concentrer sur les conditions plutôt que les besoins </w:t>
      </w:r>
      <w:proofErr w:type="gramStart"/>
      <w:r>
        <w:rPr>
          <w:color w:val="131A45"/>
        </w:rPr>
        <w:t>peut</w:t>
      </w:r>
      <w:proofErr w:type="gramEnd"/>
      <w:r>
        <w:rPr>
          <w:color w:val="131A45"/>
        </w:rPr>
        <w:t xml:space="preserve"> induire en erreur; toutes les personnes vivant avec un même diagnostic n’ont pas nécessairement les mêmes besoins.</w:t>
      </w:r>
    </w:p>
    <w:p w14:paraId="4E1AFF3B" w14:textId="77777777" w:rsidR="00BF02D1" w:rsidRDefault="00000000">
      <w:pPr>
        <w:widowControl w:val="0"/>
        <w:numPr>
          <w:ilvl w:val="1"/>
          <w:numId w:val="32"/>
        </w:numPr>
        <w:jc w:val="left"/>
        <w:rPr>
          <w:color w:val="131A45"/>
        </w:rPr>
      </w:pPr>
      <w:r>
        <w:rPr>
          <w:color w:val="131A45"/>
        </w:rPr>
        <w:t>Penser à l’accès en termes de réponse à un ou des besoins plutôt que faire une œuvre uniquement pour une communauté précise permet de ne pas contraindre l’accessibilité, et ainsi d’ouvrir le spectacle à toute personne ayant ce ou ces besoins.</w:t>
      </w:r>
    </w:p>
    <w:p w14:paraId="4E1AFF3C" w14:textId="77777777" w:rsidR="00BF02D1" w:rsidRDefault="00000000">
      <w:pPr>
        <w:widowControl w:val="0"/>
        <w:numPr>
          <w:ilvl w:val="1"/>
          <w:numId w:val="32"/>
        </w:numPr>
        <w:jc w:val="left"/>
        <w:rPr>
          <w:color w:val="131A45"/>
        </w:rPr>
      </w:pPr>
      <w:r>
        <w:rPr>
          <w:color w:val="131A45"/>
        </w:rPr>
        <w:t>Chaque personne a le droit d’avoir accès à ce qui lui convient le mieux, et personne ne sait mieux qu’elle-même ce qui l’aide, indépendamment de tout diagnostic médical.</w:t>
      </w:r>
    </w:p>
    <w:p w14:paraId="4E1AFF3D" w14:textId="77777777" w:rsidR="00BF02D1" w:rsidRDefault="00000000">
      <w:pPr>
        <w:widowControl w:val="0"/>
        <w:numPr>
          <w:ilvl w:val="1"/>
          <w:numId w:val="32"/>
        </w:numPr>
        <w:jc w:val="left"/>
        <w:rPr>
          <w:color w:val="131A45"/>
        </w:rPr>
      </w:pPr>
      <w:r>
        <w:rPr>
          <w:color w:val="131A45"/>
        </w:rPr>
        <w:t>Au-delà des notions d’accessibilité, il y a les goûts. On ne devrait pas astreindre les communautés à des accessibilités précises selon ce qu’on considère approprié pour ces dernières.</w:t>
      </w:r>
    </w:p>
    <w:p w14:paraId="4E1AFF3E" w14:textId="77777777" w:rsidR="00BF02D1" w:rsidRDefault="00000000">
      <w:pPr>
        <w:pStyle w:val="Titre2"/>
        <w:ind w:right="360"/>
      </w:pPr>
      <w:bookmarkStart w:id="15" w:name="_heading=h.35nkun2" w:colFirst="0" w:colLast="0"/>
      <w:bookmarkEnd w:id="15"/>
      <w:r>
        <w:rPr>
          <w:noProof/>
        </w:rPr>
        <w:lastRenderedPageBreak/>
        <w:drawing>
          <wp:anchor distT="0" distB="0" distL="0" distR="0" simplePos="0" relativeHeight="251673600" behindDoc="1" locked="0" layoutInCell="1" hidden="0" allowOverlap="1" wp14:anchorId="4E1B0119" wp14:editId="11A7730C">
            <wp:simplePos x="0" y="0"/>
            <wp:positionH relativeFrom="page">
              <wp:posOffset>3886200</wp:posOffset>
            </wp:positionH>
            <wp:positionV relativeFrom="page">
              <wp:posOffset>705322</wp:posOffset>
            </wp:positionV>
            <wp:extent cx="4492869" cy="600075"/>
            <wp:effectExtent l="0" t="0" r="3175" b="0"/>
            <wp:wrapNone/>
            <wp:docPr id="130602838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492869" cy="600075"/>
                    </a:xfrm>
                    <a:prstGeom prst="rect">
                      <a:avLst/>
                    </a:prstGeom>
                    <a:ln/>
                  </pic:spPr>
                </pic:pic>
              </a:graphicData>
            </a:graphic>
          </wp:anchor>
        </w:drawing>
      </w:r>
      <w:r>
        <w:t>L’accessibilité créative</w:t>
      </w:r>
    </w:p>
    <w:p w14:paraId="4E1AFF3F" w14:textId="77777777" w:rsidR="00BF02D1" w:rsidRDefault="00000000">
      <w:pPr>
        <w:widowControl w:val="0"/>
        <w:jc w:val="left"/>
        <w:rPr>
          <w:color w:val="131A45"/>
        </w:rPr>
      </w:pPr>
      <w:r>
        <w:rPr>
          <w:color w:val="131A45"/>
        </w:rPr>
        <w:t xml:space="preserve">Selon Charles Gardou, un anthropologue français spécialisé sur les questions entourant le handicap, une société inclusive est, ou du moins devrait être, un pléonasme.            </w:t>
      </w:r>
    </w:p>
    <w:p w14:paraId="4E1AFF40" w14:textId="77777777" w:rsidR="00BF02D1" w:rsidRDefault="00000000">
      <w:pPr>
        <w:widowControl w:val="0"/>
        <w:spacing w:before="120"/>
        <w:ind w:left="450"/>
        <w:jc w:val="left"/>
        <w:rPr>
          <w:color w:val="131A45"/>
        </w:rPr>
      </w:pPr>
      <w:r>
        <w:rPr>
          <w:color w:val="131A45"/>
        </w:rPr>
        <w:t>« Le mot “société” (</w:t>
      </w:r>
      <w:r>
        <w:rPr>
          <w:i/>
          <w:color w:val="131A45"/>
        </w:rPr>
        <w:t>societas</w:t>
      </w:r>
      <w:r>
        <w:rPr>
          <w:color w:val="131A45"/>
        </w:rPr>
        <w:t xml:space="preserve"> en latin) signifiant lui-même “communauté, alliance, union”. Une société est une communauté de compagnons, reposant sur la solidarité, la coopération. De fait, exclure un seul d’entre eux engendre un appauvrissement du tissu communautaire. Le défi majeur de notre temps est de (re)faire société</w:t>
      </w:r>
      <w:r>
        <w:rPr>
          <w:color w:val="131A45"/>
          <w:vertAlign w:val="superscript"/>
        </w:rPr>
        <w:footnoteReference w:id="5"/>
      </w:r>
      <w:r>
        <w:rPr>
          <w:color w:val="131A45"/>
        </w:rPr>
        <w:t>. »</w:t>
      </w:r>
    </w:p>
    <w:p w14:paraId="4E1AFF41" w14:textId="77777777" w:rsidR="00BF02D1" w:rsidRDefault="00000000">
      <w:pPr>
        <w:widowControl w:val="0"/>
        <w:spacing w:before="400"/>
        <w:jc w:val="left"/>
        <w:rPr>
          <w:color w:val="131A45"/>
          <w:shd w:val="clear" w:color="auto" w:fill="EA9999"/>
        </w:rPr>
      </w:pPr>
      <w:r>
        <w:rPr>
          <w:color w:val="131A45"/>
        </w:rPr>
        <w:t>Pour réussir ce défi, on doit aussi repenser l’équité et la citoyenneté culturelle de toutes et tous. Pour épauler ce cheminement, nous développons depuis 2020 le concept d’</w:t>
      </w:r>
      <w:r>
        <w:rPr>
          <w:rFonts w:ascii="Lexend SemiBold" w:eastAsia="Lexend SemiBold" w:hAnsi="Lexend SemiBold" w:cs="Lexend SemiBold"/>
          <w:color w:val="131A45"/>
        </w:rPr>
        <w:t>accessibilité créative.</w:t>
      </w:r>
    </w:p>
    <w:p w14:paraId="4E1AFF42" w14:textId="77777777" w:rsidR="00BF02D1" w:rsidRDefault="00000000">
      <w:pPr>
        <w:widowControl w:val="0"/>
        <w:spacing w:before="400"/>
        <w:ind w:left="450"/>
        <w:jc w:val="left"/>
        <w:rPr>
          <w:b/>
          <w:color w:val="131A45"/>
        </w:rPr>
      </w:pPr>
      <w:r>
        <w:rPr>
          <w:color w:val="131A45"/>
        </w:rPr>
        <w:t>L'accessibilité créative est un concept qui imbrique les réflexions sur l'accessibilité et l'inclusivité des spectatrices et spectateurs au cœur, et ce dès le début, du processus créatif et dramaturgique d'un projet en arts vivants. Ce processus devient ainsi un moteur intrinsèque au développement de l'œuvre ou de l'activité et instruit toutes les étapes de création et tisse son propre langage créatif, s'étendant à chacune des écritures (sonore, textuelle, vidéo, scénographique, du mouvement, etc.)</w:t>
      </w:r>
      <w:r>
        <w:rPr>
          <w:noProof/>
        </w:rPr>
        <mc:AlternateContent>
          <mc:Choice Requires="wps">
            <w:drawing>
              <wp:anchor distT="0" distB="0" distL="114300" distR="114300" simplePos="0" relativeHeight="251674624" behindDoc="0" locked="0" layoutInCell="1" hidden="0" allowOverlap="1" wp14:anchorId="4E1B011B" wp14:editId="4E1B011C">
                <wp:simplePos x="0" y="0"/>
                <wp:positionH relativeFrom="column">
                  <wp:posOffset>101601</wp:posOffset>
                </wp:positionH>
                <wp:positionV relativeFrom="paragraph">
                  <wp:posOffset>228600</wp:posOffset>
                </wp:positionV>
                <wp:extent cx="0" cy="1367246"/>
                <wp:effectExtent l="0" t="0" r="0" b="0"/>
                <wp:wrapNone/>
                <wp:docPr id="1306028337" name="Connecteur droit avec flèche 1306028337"/>
                <wp:cNvGraphicFramePr/>
                <a:graphic xmlns:a="http://schemas.openxmlformats.org/drawingml/2006/main">
                  <a:graphicData uri="http://schemas.microsoft.com/office/word/2010/wordprocessingShape">
                    <wps:wsp>
                      <wps:cNvCnPr/>
                      <wps:spPr>
                        <a:xfrm>
                          <a:off x="5346000" y="3096377"/>
                          <a:ext cx="0" cy="1367246"/>
                        </a:xfrm>
                        <a:prstGeom prst="straightConnector1">
                          <a:avLst/>
                        </a:prstGeom>
                        <a:noFill/>
                        <a:ln w="66675" cap="flat" cmpd="sng">
                          <a:solidFill>
                            <a:srgbClr val="131A45"/>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101601</wp:posOffset>
                </wp:positionH>
                <wp:positionV relativeFrom="paragraph">
                  <wp:posOffset>228600</wp:posOffset>
                </wp:positionV>
                <wp:extent cx="0" cy="1367246"/>
                <wp:effectExtent b="0" l="0" r="0" t="0"/>
                <wp:wrapNone/>
                <wp:docPr id="1306028337" name="image11.png"/>
                <a:graphic>
                  <a:graphicData uri="http://schemas.openxmlformats.org/drawingml/2006/picture">
                    <pic:pic>
                      <pic:nvPicPr>
                        <pic:cNvPr id="0" name="image11.png"/>
                        <pic:cNvPicPr preferRelativeResize="0"/>
                      </pic:nvPicPr>
                      <pic:blipFill>
                        <a:blip r:embed="rId16"/>
                        <a:srcRect/>
                        <a:stretch>
                          <a:fillRect/>
                        </a:stretch>
                      </pic:blipFill>
                      <pic:spPr>
                        <a:xfrm>
                          <a:off x="0" y="0"/>
                          <a:ext cx="0" cy="1367246"/>
                        </a:xfrm>
                        <a:prstGeom prst="rect"/>
                        <a:ln/>
                      </pic:spPr>
                    </pic:pic>
                  </a:graphicData>
                </a:graphic>
              </wp:anchor>
            </w:drawing>
          </mc:Fallback>
        </mc:AlternateContent>
      </w:r>
    </w:p>
    <w:p w14:paraId="4E1AFF43" w14:textId="77777777" w:rsidR="00BF02D1" w:rsidRDefault="00000000">
      <w:pPr>
        <w:widowControl w:val="0"/>
        <w:spacing w:before="400"/>
        <w:jc w:val="left"/>
        <w:rPr>
          <w:color w:val="131A45"/>
        </w:rPr>
      </w:pPr>
      <w:r>
        <w:rPr>
          <w:color w:val="131A45"/>
        </w:rPr>
        <w:t>Points importants de la démarche d’accessibilité créative :</w:t>
      </w:r>
    </w:p>
    <w:p w14:paraId="4E1AFF44" w14:textId="77777777" w:rsidR="00BF02D1" w:rsidRDefault="00000000">
      <w:pPr>
        <w:widowControl w:val="0"/>
        <w:numPr>
          <w:ilvl w:val="0"/>
          <w:numId w:val="25"/>
        </w:numPr>
        <w:jc w:val="left"/>
        <w:rPr>
          <w:color w:val="131A45"/>
        </w:rPr>
      </w:pPr>
      <w:r>
        <w:rPr>
          <w:color w:val="131A45"/>
        </w:rPr>
        <w:t>L’accessibilité des spectatrices et spectateurs devient une priorité au cœur même de toutes les décisions, qu’elles soient créatives ou logistiques.</w:t>
      </w:r>
    </w:p>
    <w:p w14:paraId="4E1AFF45" w14:textId="77777777" w:rsidR="00BF02D1" w:rsidRDefault="00000000">
      <w:pPr>
        <w:widowControl w:val="0"/>
        <w:numPr>
          <w:ilvl w:val="0"/>
          <w:numId w:val="25"/>
        </w:numPr>
        <w:jc w:val="left"/>
        <w:rPr>
          <w:color w:val="131A45"/>
        </w:rPr>
      </w:pPr>
      <w:r>
        <w:rPr>
          <w:color w:val="131A45"/>
        </w:rPr>
        <w:t>L’accessibilité créative est présente dans l’ensemble des représentations et vise à enrayer la perception de l’accessibilité comme une contrainte ou une considération de fin de parcours de création.</w:t>
      </w:r>
    </w:p>
    <w:p w14:paraId="4E1AFF46" w14:textId="77777777" w:rsidR="00BF02D1" w:rsidRDefault="00000000">
      <w:pPr>
        <w:widowControl w:val="0"/>
        <w:numPr>
          <w:ilvl w:val="0"/>
          <w:numId w:val="25"/>
        </w:numPr>
        <w:jc w:val="left"/>
        <w:rPr>
          <w:color w:val="131A45"/>
        </w:rPr>
      </w:pPr>
      <w:r>
        <w:rPr>
          <w:color w:val="131A45"/>
        </w:rPr>
        <w:lastRenderedPageBreak/>
        <w:t>La démarche invite à esthétiser les solutions d’accessibilité, mais ce n’est pas une obligation à cette démarche.</w:t>
      </w:r>
    </w:p>
    <w:p w14:paraId="4E1AFF47" w14:textId="77777777" w:rsidR="00BF02D1" w:rsidRDefault="00000000">
      <w:pPr>
        <w:pStyle w:val="Titre3"/>
        <w:widowControl w:val="0"/>
        <w:jc w:val="left"/>
      </w:pPr>
      <w:bookmarkStart w:id="16" w:name="_heading=h.1ksv4uv" w:colFirst="0" w:colLast="0"/>
      <w:bookmarkEnd w:id="16"/>
      <w:r>
        <w:t>QUELQUES EXEMPLES D’ACCESSIBILITÉ CRÉATIVE</w:t>
      </w:r>
    </w:p>
    <w:p w14:paraId="4E1AFF48" w14:textId="77777777" w:rsidR="00BF02D1" w:rsidRDefault="00000000">
      <w:pPr>
        <w:numPr>
          <w:ilvl w:val="0"/>
          <w:numId w:val="43"/>
        </w:numPr>
        <w:spacing w:before="400" w:after="240"/>
        <w:rPr>
          <w:color w:val="131A45"/>
        </w:rPr>
      </w:pPr>
      <w:r>
        <w:rPr>
          <w:color w:val="131A45"/>
        </w:rPr>
        <w:t xml:space="preserve">Théâtre Déchaînés a réalisé </w:t>
      </w:r>
      <w:r>
        <w:rPr>
          <w:i/>
          <w:color w:val="131A45"/>
        </w:rPr>
        <w:t>Planétarium 2.</w:t>
      </w:r>
      <w:r>
        <w:rPr>
          <w:i/>
          <w:color w:val="131A45"/>
          <w:highlight w:val="white"/>
        </w:rPr>
        <w:t>0</w:t>
      </w:r>
      <w:r>
        <w:rPr>
          <w:color w:val="131A45"/>
          <w:highlight w:val="white"/>
        </w:rPr>
        <w:t xml:space="preserve"> en 2020. Cette création théâtrale, jouée sur internet via une plateforme spécialement </w:t>
      </w:r>
      <w:r>
        <w:rPr>
          <w:color w:val="131A45"/>
        </w:rPr>
        <w:t>conçue pour sa diffusion, visait à assurer un accès à du théâtre depuis les résidences des spectatrices et spectateurs. Des stratégies d’accessibilité créative ont ainsi été mises en place :</w:t>
      </w:r>
    </w:p>
    <w:p w14:paraId="4E1AFF49" w14:textId="77777777" w:rsidR="00BF02D1" w:rsidRDefault="00000000">
      <w:pPr>
        <w:numPr>
          <w:ilvl w:val="1"/>
          <w:numId w:val="43"/>
        </w:numPr>
        <w:spacing w:before="120" w:after="240"/>
        <w:rPr>
          <w:color w:val="131A45"/>
        </w:rPr>
      </w:pPr>
      <w:r>
        <w:rPr>
          <w:color w:val="131A45"/>
        </w:rPr>
        <w:t xml:space="preserve">Créer un spectacle pour être joué en </w:t>
      </w:r>
      <w:hyperlink w:anchor="_heading=h.ihv636">
        <w:r w:rsidR="00BF02D1">
          <w:rPr>
            <w:color w:val="131A45"/>
            <w:u w:val="single"/>
          </w:rPr>
          <w:t>scènes à distance</w:t>
        </w:r>
      </w:hyperlink>
      <w:r>
        <w:rPr>
          <w:color w:val="131A45"/>
        </w:rPr>
        <w:t>, incluant une participation éthique du public par l’anonymat d’un clavardage</w:t>
      </w:r>
    </w:p>
    <w:p w14:paraId="4E1AFF4A" w14:textId="77777777" w:rsidR="00BF02D1" w:rsidRDefault="00000000">
      <w:pPr>
        <w:numPr>
          <w:ilvl w:val="0"/>
          <w:numId w:val="6"/>
        </w:numPr>
        <w:spacing w:after="240"/>
        <w:jc w:val="left"/>
        <w:rPr>
          <w:color w:val="131A45"/>
        </w:rPr>
      </w:pPr>
      <w:r>
        <w:rPr>
          <w:color w:val="131A45"/>
        </w:rPr>
        <w:t>Inclure des espaces d’improvisation pour que les réflexions exprimées lors du clavardage en direct par le public influencent le texte et les interventions des comédiennes à chaque représentation</w:t>
      </w:r>
    </w:p>
    <w:p w14:paraId="4E1AFF4B" w14:textId="77777777" w:rsidR="00BF02D1" w:rsidRDefault="00000000">
      <w:pPr>
        <w:numPr>
          <w:ilvl w:val="0"/>
          <w:numId w:val="6"/>
        </w:numPr>
        <w:spacing w:after="240"/>
        <w:jc w:val="left"/>
        <w:rPr>
          <w:color w:val="131A45"/>
        </w:rPr>
      </w:pPr>
      <w:r>
        <w:rPr>
          <w:color w:val="131A45"/>
        </w:rPr>
        <w:t>Concevoir une dramaturgie spécifique pour la scène web avec diverses caméras et des images poétiques filmées en direct par les comédiennes</w:t>
      </w:r>
    </w:p>
    <w:p w14:paraId="4E1AFF4C" w14:textId="77777777" w:rsidR="00BF02D1" w:rsidRDefault="00000000">
      <w:pPr>
        <w:numPr>
          <w:ilvl w:val="0"/>
          <w:numId w:val="6"/>
        </w:numPr>
        <w:spacing w:after="240"/>
        <w:jc w:val="left"/>
        <w:rPr>
          <w:color w:val="131A45"/>
        </w:rPr>
      </w:pPr>
      <w:r>
        <w:rPr>
          <w:color w:val="131A45"/>
        </w:rPr>
        <w:t>Offrir un cahier d’accompagnement à lire avant la représentation</w:t>
      </w:r>
    </w:p>
    <w:p w14:paraId="4E1AFF4D" w14:textId="77777777" w:rsidR="00BF02D1" w:rsidRDefault="00000000">
      <w:pPr>
        <w:spacing w:before="400" w:after="240" w:line="276" w:lineRule="auto"/>
        <w:jc w:val="left"/>
        <w:rPr>
          <w:color w:val="131A45"/>
        </w:rPr>
      </w:pPr>
      <w:r>
        <w:rPr>
          <w:color w:val="131A45"/>
        </w:rPr>
        <w:t xml:space="preserve">Plusieurs autres compagnies proposent des projets qui peuvent, selon nous, être liés à l’accessibilité créative, comme </w:t>
      </w:r>
      <w:proofErr w:type="spellStart"/>
      <w:r w:rsidRPr="00C23744">
        <w:rPr>
          <w:color w:val="131A45"/>
        </w:rPr>
        <w:t>Oily</w:t>
      </w:r>
      <w:proofErr w:type="spellEnd"/>
      <w:r w:rsidRPr="00C23744">
        <w:rPr>
          <w:color w:val="131A45"/>
        </w:rPr>
        <w:t xml:space="preserve"> Cart</w:t>
      </w:r>
      <w:r>
        <w:rPr>
          <w:color w:val="131A45"/>
        </w:rPr>
        <w:t xml:space="preserve">, Théâtre Motus ou le collectif Au-delà du visuel. </w:t>
      </w:r>
    </w:p>
    <w:p w14:paraId="4E1AFF4E" w14:textId="77777777" w:rsidR="00BF02D1" w:rsidRDefault="00000000">
      <w:pPr>
        <w:numPr>
          <w:ilvl w:val="0"/>
          <w:numId w:val="52"/>
        </w:numPr>
        <w:spacing w:before="400" w:after="240" w:line="276" w:lineRule="auto"/>
        <w:jc w:val="left"/>
        <w:rPr>
          <w:color w:val="131A45"/>
        </w:rPr>
      </w:pPr>
      <w:r>
        <w:rPr>
          <w:i/>
          <w:color w:val="131A45"/>
        </w:rPr>
        <w:t xml:space="preserve">Pompières et pyromanes </w:t>
      </w:r>
      <w:r>
        <w:rPr>
          <w:color w:val="131A45"/>
        </w:rPr>
        <w:t>du Bureau de l’APA, présentée avec une interprète en langue des signes québécoises pour 12 représentations. Celle-ci avait une place significative en signant les textes, la musique, mais aussi ses propres répliques.</w:t>
      </w:r>
    </w:p>
    <w:p w14:paraId="4E1AFF4F" w14:textId="77777777" w:rsidR="00BF02D1" w:rsidRDefault="00000000">
      <w:pPr>
        <w:numPr>
          <w:ilvl w:val="0"/>
          <w:numId w:val="52"/>
        </w:numPr>
        <w:spacing w:after="240" w:line="276" w:lineRule="auto"/>
        <w:jc w:val="left"/>
        <w:rPr>
          <w:i/>
          <w:color w:val="131A45"/>
        </w:rPr>
      </w:pPr>
      <w:r>
        <w:rPr>
          <w:i/>
          <w:color w:val="131A45"/>
        </w:rPr>
        <w:t xml:space="preserve">Prince Hamlet </w:t>
      </w:r>
      <w:r>
        <w:rPr>
          <w:color w:val="131A45"/>
        </w:rPr>
        <w:t xml:space="preserve">de </w:t>
      </w:r>
      <w:r w:rsidRPr="00C23744">
        <w:rPr>
          <w:color w:val="131A45"/>
        </w:rPr>
        <w:t>Why not Theater</w:t>
      </w:r>
      <w:r>
        <w:rPr>
          <w:color w:val="131A45"/>
        </w:rPr>
        <w:t xml:space="preserve">, a aussi proposé un spectacle bilingue parlé et signé pour redécouvrir la manière de raconter ce classique, en explorant diverses façons d’inclure la </w:t>
      </w:r>
      <w:r w:rsidRPr="00C23744">
        <w:rPr>
          <w:i/>
          <w:color w:val="131A45"/>
        </w:rPr>
        <w:t xml:space="preserve">American </w:t>
      </w:r>
      <w:proofErr w:type="spellStart"/>
      <w:r w:rsidRPr="00C23744">
        <w:rPr>
          <w:i/>
          <w:color w:val="131A45"/>
        </w:rPr>
        <w:t>Sign</w:t>
      </w:r>
      <w:proofErr w:type="spellEnd"/>
      <w:r w:rsidRPr="00C23744">
        <w:rPr>
          <w:i/>
          <w:color w:val="131A45"/>
        </w:rPr>
        <w:t xml:space="preserve"> </w:t>
      </w:r>
      <w:proofErr w:type="spellStart"/>
      <w:r w:rsidRPr="00C23744">
        <w:rPr>
          <w:i/>
          <w:color w:val="131A45"/>
        </w:rPr>
        <w:t>Language</w:t>
      </w:r>
      <w:proofErr w:type="spellEnd"/>
      <w:r>
        <w:rPr>
          <w:color w:val="131A45"/>
        </w:rPr>
        <w:t xml:space="preserve"> à même l'œuvre. </w:t>
      </w:r>
    </w:p>
    <w:p w14:paraId="4E1AFF50" w14:textId="77777777" w:rsidR="00BF02D1" w:rsidRDefault="00000000">
      <w:pPr>
        <w:spacing w:before="400" w:after="240" w:line="276" w:lineRule="auto"/>
        <w:jc w:val="left"/>
        <w:rPr>
          <w:i/>
          <w:color w:val="E69138"/>
        </w:rPr>
      </w:pPr>
      <w:r>
        <w:rPr>
          <w:color w:val="131A45"/>
        </w:rPr>
        <w:t xml:space="preserve">Pour des extraits et exemples : </w:t>
      </w:r>
      <w:hyperlink r:id="rId17">
        <w:r w:rsidR="00BF02D1">
          <w:rPr>
            <w:i/>
            <w:color w:val="131A45"/>
            <w:u w:val="single"/>
          </w:rPr>
          <w:t>www.theatredechaines.com/ressources</w:t>
        </w:r>
      </w:hyperlink>
      <w:r>
        <w:rPr>
          <w:color w:val="131A45"/>
        </w:rPr>
        <w:t xml:space="preserve"> </w:t>
      </w:r>
    </w:p>
    <w:p w14:paraId="4E1AFF51" w14:textId="5737B859" w:rsidR="00BF02D1" w:rsidRDefault="00C23744">
      <w:pPr>
        <w:pStyle w:val="Titre2"/>
        <w:widowControl w:val="0"/>
        <w:ind w:right="360"/>
      </w:pPr>
      <w:bookmarkStart w:id="17" w:name="_heading=h.44sinio" w:colFirst="0" w:colLast="0"/>
      <w:bookmarkEnd w:id="17"/>
      <w:r>
        <w:rPr>
          <w:noProof/>
        </w:rPr>
        <w:lastRenderedPageBreak/>
        <w:drawing>
          <wp:anchor distT="0" distB="0" distL="0" distR="0" simplePos="0" relativeHeight="251676672" behindDoc="1" locked="0" layoutInCell="1" hidden="0" allowOverlap="1" wp14:anchorId="4E1B011F" wp14:editId="08D71890">
            <wp:simplePos x="0" y="0"/>
            <wp:positionH relativeFrom="page">
              <wp:posOffset>2152650</wp:posOffset>
            </wp:positionH>
            <wp:positionV relativeFrom="page">
              <wp:posOffset>693257</wp:posOffset>
            </wp:positionV>
            <wp:extent cx="4492625" cy="600075"/>
            <wp:effectExtent l="0" t="0" r="3175" b="0"/>
            <wp:wrapNone/>
            <wp:docPr id="13060283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492625" cy="600075"/>
                    </a:xfrm>
                    <a:prstGeom prst="rect">
                      <a:avLst/>
                    </a:prstGeom>
                    <a:ln/>
                  </pic:spPr>
                </pic:pic>
              </a:graphicData>
            </a:graphic>
          </wp:anchor>
        </w:drawing>
      </w:r>
      <w:r>
        <w:rPr>
          <w:noProof/>
        </w:rPr>
        <w:drawing>
          <wp:anchor distT="0" distB="0" distL="0" distR="0" simplePos="0" relativeHeight="251675648" behindDoc="1" locked="0" layoutInCell="1" hidden="0" allowOverlap="1" wp14:anchorId="4E1B011D" wp14:editId="0FA80A1F">
            <wp:simplePos x="0" y="0"/>
            <wp:positionH relativeFrom="page">
              <wp:posOffset>3695700</wp:posOffset>
            </wp:positionH>
            <wp:positionV relativeFrom="page">
              <wp:posOffset>693892</wp:posOffset>
            </wp:positionV>
            <wp:extent cx="4492625" cy="600075"/>
            <wp:effectExtent l="0" t="0" r="3175" b="0"/>
            <wp:wrapNone/>
            <wp:docPr id="130602836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492625" cy="600075"/>
                    </a:xfrm>
                    <a:prstGeom prst="rect">
                      <a:avLst/>
                    </a:prstGeom>
                    <a:ln/>
                  </pic:spPr>
                </pic:pic>
              </a:graphicData>
            </a:graphic>
          </wp:anchor>
        </w:drawing>
      </w:r>
      <w:r>
        <w:t>Concepts reliés à l’accessibilité créative</w:t>
      </w:r>
    </w:p>
    <w:p w14:paraId="4E1AFF52" w14:textId="77777777" w:rsidR="00BF02D1" w:rsidRDefault="00000000">
      <w:pPr>
        <w:widowControl w:val="0"/>
        <w:jc w:val="left"/>
        <w:rPr>
          <w:color w:val="131A45"/>
        </w:rPr>
      </w:pPr>
      <w:r>
        <w:rPr>
          <w:color w:val="131A45"/>
        </w:rPr>
        <w:t>Pour mieux comprendre l’accessibilité créative et ses possibilités, plusieurs idées et concepts s’avèrent d’une grande aide. Nous avons répertorié ici quelques-uns des plus importants.</w:t>
      </w:r>
    </w:p>
    <w:p w14:paraId="4E1AFF53" w14:textId="77777777" w:rsidR="00BF02D1" w:rsidRDefault="00000000">
      <w:pPr>
        <w:widowControl w:val="0"/>
        <w:spacing w:before="600"/>
        <w:jc w:val="left"/>
        <w:rPr>
          <w:color w:val="131A45"/>
        </w:rPr>
      </w:pPr>
      <w:r>
        <w:rPr>
          <w:rFonts w:ascii="Lexend SemiBold" w:eastAsia="Lexend SemiBold" w:hAnsi="Lexend SemiBold" w:cs="Lexend SemiBold"/>
          <w:color w:val="131A45"/>
        </w:rPr>
        <w:t>La création par et pour</w:t>
      </w:r>
      <w:r>
        <w:rPr>
          <w:b/>
          <w:color w:val="131A45"/>
        </w:rPr>
        <w:t xml:space="preserve"> :</w:t>
      </w:r>
      <w:r>
        <w:rPr>
          <w:color w:val="131A45"/>
        </w:rPr>
        <w:t xml:space="preserve"> « Rien sur nous sans nous</w:t>
      </w:r>
      <w:r>
        <w:rPr>
          <w:color w:val="131A45"/>
          <w:vertAlign w:val="superscript"/>
        </w:rPr>
        <w:footnoteReference w:id="6"/>
      </w:r>
      <w:r>
        <w:rPr>
          <w:color w:val="131A45"/>
        </w:rPr>
        <w:t xml:space="preserve"> » est un fondement des luttes pour les droits des personnes dites de la diversité fonctionnelle et marginalisées.</w:t>
      </w:r>
    </w:p>
    <w:p w14:paraId="4E1AFF54" w14:textId="77777777" w:rsidR="00BF02D1" w:rsidRDefault="00000000">
      <w:pPr>
        <w:widowControl w:val="0"/>
        <w:numPr>
          <w:ilvl w:val="0"/>
          <w:numId w:val="30"/>
        </w:numPr>
        <w:spacing w:after="200"/>
        <w:jc w:val="left"/>
        <w:rPr>
          <w:color w:val="131A45"/>
        </w:rPr>
      </w:pPr>
      <w:r>
        <w:rPr>
          <w:color w:val="131A45"/>
        </w:rPr>
        <w:t>Tout projet devrait inclure, dans toutes les étapes du processus et de façon plus substantielle qu’accessoire, des personnes vivant les réalités qui sont mises en lumière sur scène et/ou dans les volontés d’accessibilité.</w:t>
      </w:r>
    </w:p>
    <w:p w14:paraId="4E1AFF55" w14:textId="77777777" w:rsidR="00BF02D1" w:rsidRDefault="00000000">
      <w:pPr>
        <w:widowControl w:val="0"/>
        <w:numPr>
          <w:ilvl w:val="0"/>
          <w:numId w:val="30"/>
        </w:numPr>
        <w:spacing w:before="0" w:after="200"/>
        <w:jc w:val="left"/>
        <w:rPr>
          <w:color w:val="131A45"/>
        </w:rPr>
      </w:pPr>
      <w:r>
        <w:rPr>
          <w:color w:val="131A45"/>
        </w:rPr>
        <w:t>Une personne dite la diversité fonctionnelle n’est pas spécialiste de tout le spectre de sa condition, et encore moins de toutes les situations de handicap. On doit penser en termes de pluralité des voix et des expériences.</w:t>
      </w:r>
    </w:p>
    <w:p w14:paraId="4E1AFF56" w14:textId="77777777" w:rsidR="00BF02D1" w:rsidRDefault="00000000">
      <w:pPr>
        <w:widowControl w:val="0"/>
        <w:numPr>
          <w:ilvl w:val="0"/>
          <w:numId w:val="30"/>
        </w:numPr>
        <w:spacing w:after="200"/>
        <w:jc w:val="left"/>
        <w:rPr>
          <w:color w:val="131A45"/>
        </w:rPr>
      </w:pPr>
      <w:r>
        <w:rPr>
          <w:color w:val="131A45"/>
        </w:rPr>
        <w:t>La création par et pour n’empêche pas quelqu’un qui ne vit pas une réalité de faire un projet sur celle-ci, mais cela devrait se faire en réelle collaboration.</w:t>
      </w:r>
    </w:p>
    <w:p w14:paraId="4E1AFF57" w14:textId="77777777" w:rsidR="00BF02D1" w:rsidRDefault="00000000">
      <w:pPr>
        <w:widowControl w:val="0"/>
        <w:spacing w:before="600"/>
        <w:jc w:val="left"/>
        <w:rPr>
          <w:color w:val="131A45"/>
        </w:rPr>
      </w:pPr>
      <w:r>
        <w:rPr>
          <w:rFonts w:ascii="Lexend SemiBold" w:eastAsia="Lexend SemiBold" w:hAnsi="Lexend SemiBold" w:cs="Lexend SemiBold"/>
          <w:color w:val="131A45"/>
        </w:rPr>
        <w:t>L’intimité de l’accès</w:t>
      </w:r>
      <w:r>
        <w:rPr>
          <w:color w:val="131A45"/>
          <w:vertAlign w:val="superscript"/>
        </w:rPr>
        <w:footnoteReference w:id="7"/>
      </w:r>
      <w:r>
        <w:rPr>
          <w:color w:val="131A45"/>
        </w:rPr>
        <w:t xml:space="preserve"> : Concept de l’autrice et activiste </w:t>
      </w:r>
      <w:r w:rsidRPr="00C23744">
        <w:rPr>
          <w:color w:val="131A45"/>
        </w:rPr>
        <w:t>Mia Mingus</w:t>
      </w:r>
      <w:r>
        <w:rPr>
          <w:color w:val="131A45"/>
        </w:rPr>
        <w:t xml:space="preserve"> (2011), qui souligne qu’il faut pousser l’accessibilité au-delà des notions de logistique, de lieux et de faits pratiques. Les besoins ne devraient pas être pensés seulement en fait de rampes ou d’éléments techniques.</w:t>
      </w:r>
    </w:p>
    <w:p w14:paraId="4E1AFF58" w14:textId="77777777" w:rsidR="00BF02D1" w:rsidRDefault="00000000">
      <w:pPr>
        <w:widowControl w:val="0"/>
        <w:numPr>
          <w:ilvl w:val="0"/>
          <w:numId w:val="59"/>
        </w:numPr>
        <w:ind w:left="714" w:hanging="357"/>
        <w:jc w:val="left"/>
        <w:rPr>
          <w:color w:val="131A45"/>
        </w:rPr>
      </w:pPr>
      <w:r>
        <w:rPr>
          <w:color w:val="131A45"/>
        </w:rPr>
        <w:t>L’intimité de l’accès rappelle « qu’on doit faire passer le travail d'accès du domaine de la logistique à celui des relations et de la compréhension des personnes handicapées en tant qu'êtres humains et non en tant que fardeaux</w:t>
      </w:r>
      <w:r>
        <w:rPr>
          <w:color w:val="131A45"/>
          <w:vertAlign w:val="superscript"/>
        </w:rPr>
        <w:footnoteReference w:id="8"/>
      </w:r>
      <w:r>
        <w:rPr>
          <w:color w:val="131A45"/>
        </w:rPr>
        <w:t>. »</w:t>
      </w:r>
    </w:p>
    <w:p w14:paraId="4E1AFF59" w14:textId="77777777" w:rsidR="00BF02D1" w:rsidRDefault="00000000">
      <w:pPr>
        <w:widowControl w:val="0"/>
        <w:numPr>
          <w:ilvl w:val="0"/>
          <w:numId w:val="59"/>
        </w:numPr>
        <w:spacing w:after="200"/>
        <w:jc w:val="left"/>
        <w:rPr>
          <w:color w:val="131A45"/>
        </w:rPr>
      </w:pPr>
      <w:r>
        <w:rPr>
          <w:color w:val="131A45"/>
        </w:rPr>
        <w:lastRenderedPageBreak/>
        <w:t>Ce concept s’implante dans la réflexion de l’accessibilité créative en réfléchissant au-delà de la simple entrée dans le bâtiment, et plus globalement à comment l'œuvre peut s’approfondir par la rencontre de ces divers publics.</w:t>
      </w:r>
    </w:p>
    <w:p w14:paraId="4E1AFF5A" w14:textId="77777777" w:rsidR="00BF02D1" w:rsidRDefault="00000000">
      <w:pPr>
        <w:widowControl w:val="0"/>
        <w:spacing w:before="600"/>
        <w:jc w:val="left"/>
        <w:rPr>
          <w:color w:val="131A45"/>
        </w:rPr>
      </w:pPr>
      <w:r>
        <w:rPr>
          <w:rFonts w:ascii="Lexend SemiBold" w:eastAsia="Lexend SemiBold" w:hAnsi="Lexend SemiBold" w:cs="Lexend SemiBold"/>
          <w:color w:val="131A45"/>
        </w:rPr>
        <w:t>L'effet rampe de trottoir</w:t>
      </w:r>
      <w:r>
        <w:rPr>
          <w:color w:val="131A45"/>
          <w:vertAlign w:val="superscript"/>
        </w:rPr>
        <w:footnoteReference w:id="9"/>
      </w:r>
      <w:r>
        <w:rPr>
          <w:color w:val="131A45"/>
        </w:rPr>
        <w:t xml:space="preserve"> : Concept de l’avocate et activiste </w:t>
      </w:r>
      <w:r w:rsidRPr="00C23744">
        <w:rPr>
          <w:color w:val="131A45"/>
        </w:rPr>
        <w:t>Angela Glover Backwell</w:t>
      </w:r>
      <w:r>
        <w:rPr>
          <w:color w:val="131A45"/>
        </w:rPr>
        <w:t xml:space="preserve"> (2017), qui défend que les aménagements réalisés pour les personnes en situation de handicap </w:t>
      </w:r>
      <w:proofErr w:type="gramStart"/>
      <w:r>
        <w:rPr>
          <w:color w:val="131A45"/>
        </w:rPr>
        <w:t>sont</w:t>
      </w:r>
      <w:proofErr w:type="gramEnd"/>
      <w:r>
        <w:rPr>
          <w:color w:val="131A45"/>
        </w:rPr>
        <w:t xml:space="preserve"> utilisés et appréciés par un groupe beaucoup plus large que les personnes pour lesquelles ils ont été conçus.</w:t>
      </w:r>
    </w:p>
    <w:p w14:paraId="4E1AFF5B" w14:textId="77777777" w:rsidR="00BF02D1" w:rsidRDefault="00000000">
      <w:pPr>
        <w:widowControl w:val="0"/>
        <w:numPr>
          <w:ilvl w:val="0"/>
          <w:numId w:val="70"/>
        </w:numPr>
        <w:spacing w:after="200"/>
        <w:jc w:val="left"/>
        <w:rPr>
          <w:color w:val="131A45"/>
        </w:rPr>
      </w:pPr>
      <w:r>
        <w:rPr>
          <w:color w:val="131A45"/>
        </w:rPr>
        <w:t>Le concept utilise l’exemple des bordures abaissées des trottoirs pour les personnes</w:t>
      </w:r>
      <w:r>
        <w:rPr>
          <w:color w:val="131A45"/>
          <w:highlight w:val="white"/>
        </w:rPr>
        <w:t xml:space="preserve"> dites </w:t>
      </w:r>
      <w:r>
        <w:rPr>
          <w:color w:val="131A45"/>
        </w:rPr>
        <w:t>à mobilité réduite. Ces bordures servent aussi aux parents avec poussette, aux personnes souffrant de douleurs chroniques, aux travailleurs transportant des chariots, aux personnes utilisant une planche à roulettes ou un vélo, aux voyageurs traînant une valise, etc.</w:t>
      </w:r>
    </w:p>
    <w:p w14:paraId="4E1AFF5C" w14:textId="77777777" w:rsidR="00BF02D1" w:rsidRDefault="00000000">
      <w:pPr>
        <w:widowControl w:val="0"/>
        <w:numPr>
          <w:ilvl w:val="0"/>
          <w:numId w:val="70"/>
        </w:numPr>
        <w:spacing w:before="0" w:after="200"/>
        <w:jc w:val="left"/>
        <w:rPr>
          <w:color w:val="131A45"/>
        </w:rPr>
      </w:pPr>
      <w:r>
        <w:rPr>
          <w:color w:val="131A45"/>
        </w:rPr>
        <w:t>Un autre aspect est que ces adaptations permettent un plein accès à un grand nombre de gens, sans nuire à l’accès des autres. Même si on n’a pas besoin de bordures de trottoir abaissées, cela n’empêche pas de les utiliser.</w:t>
      </w:r>
    </w:p>
    <w:p w14:paraId="4E1AFF5D" w14:textId="77777777" w:rsidR="00BF02D1" w:rsidRDefault="00000000">
      <w:pPr>
        <w:widowControl w:val="0"/>
        <w:numPr>
          <w:ilvl w:val="0"/>
          <w:numId w:val="70"/>
        </w:numPr>
        <w:spacing w:after="200"/>
        <w:jc w:val="left"/>
        <w:rPr>
          <w:color w:val="131A45"/>
        </w:rPr>
      </w:pPr>
      <w:r>
        <w:rPr>
          <w:color w:val="131A45"/>
        </w:rPr>
        <w:t xml:space="preserve">L’effet rampe de trottoir appliqué en accessibilité créative montre que l’imbrication de plusieurs types d’accessibilité dans un spectacle n’empêche personne d’y assister, en plus d’être propice à la créativité générale des artistes et de permettre l’accès à un plus grand nombre de spectatrices et spectateurs. </w:t>
      </w:r>
    </w:p>
    <w:p w14:paraId="4E1AFF5E" w14:textId="77777777" w:rsidR="00BF02D1" w:rsidRDefault="00000000">
      <w:pPr>
        <w:widowControl w:val="0"/>
        <w:spacing w:before="600" w:after="200"/>
        <w:jc w:val="left"/>
        <w:rPr>
          <w:color w:val="131A45"/>
        </w:rPr>
      </w:pPr>
      <w:r>
        <w:rPr>
          <w:rFonts w:ascii="Lexend SemiBold" w:eastAsia="Lexend SemiBold" w:hAnsi="Lexend SemiBold" w:cs="Lexend SemiBold"/>
          <w:color w:val="131A45"/>
        </w:rPr>
        <w:t>Le dynamisme du handicap</w:t>
      </w:r>
      <w:r>
        <w:rPr>
          <w:color w:val="131A45"/>
        </w:rPr>
        <w:t xml:space="preserve"> : Concept mis de l’avant par l’activiste </w:t>
      </w:r>
      <w:r w:rsidRPr="00C23744">
        <w:rPr>
          <w:color w:val="131A45"/>
        </w:rPr>
        <w:t xml:space="preserve">Brianne </w:t>
      </w:r>
      <w:proofErr w:type="spellStart"/>
      <w:r w:rsidRPr="00C23744">
        <w:rPr>
          <w:color w:val="131A45"/>
        </w:rPr>
        <w:t>Benness</w:t>
      </w:r>
      <w:proofErr w:type="spellEnd"/>
      <w:r>
        <w:rPr>
          <w:color w:val="131A45"/>
        </w:rPr>
        <w:t xml:space="preserve"> (2019), qui rappelle que toutes maladies, syndromes, conditions et diagnostics sont des situations qui évoluent de jour en jour, de façon non linéaire.</w:t>
      </w:r>
    </w:p>
    <w:p w14:paraId="4E1AFF5F" w14:textId="77777777" w:rsidR="00BF02D1" w:rsidRDefault="00000000">
      <w:pPr>
        <w:widowControl w:val="0"/>
        <w:numPr>
          <w:ilvl w:val="0"/>
          <w:numId w:val="2"/>
        </w:numPr>
        <w:jc w:val="left"/>
        <w:rPr>
          <w:color w:val="131A45"/>
        </w:rPr>
      </w:pPr>
      <w:r>
        <w:rPr>
          <w:color w:val="131A45"/>
        </w:rPr>
        <w:t xml:space="preserve">Cela implique que les besoins d’accessibilité d’une personne peuvent changer, même dans une courte </w:t>
      </w:r>
      <w:proofErr w:type="gramStart"/>
      <w:r>
        <w:rPr>
          <w:color w:val="131A45"/>
        </w:rPr>
        <w:t>période de temps</w:t>
      </w:r>
      <w:proofErr w:type="gramEnd"/>
      <w:r>
        <w:rPr>
          <w:color w:val="131A45"/>
        </w:rPr>
        <w:t>, et que l’on doit s’adapter.</w:t>
      </w:r>
    </w:p>
    <w:p w14:paraId="4E1AFF60" w14:textId="77777777" w:rsidR="00BF02D1" w:rsidRDefault="00000000">
      <w:pPr>
        <w:widowControl w:val="0"/>
        <w:numPr>
          <w:ilvl w:val="0"/>
          <w:numId w:val="2"/>
        </w:numPr>
        <w:jc w:val="left"/>
        <w:rPr>
          <w:color w:val="131A45"/>
        </w:rPr>
      </w:pPr>
      <w:r>
        <w:rPr>
          <w:color w:val="131A45"/>
        </w:rPr>
        <w:t xml:space="preserve">Ce principe consolide les raisons de croire qu’il est plus efficace de penser à l’accessibilité créative en termes de besoins à épauler plutôt qu’en termes de </w:t>
      </w:r>
      <w:r>
        <w:rPr>
          <w:color w:val="131A45"/>
        </w:rPr>
        <w:lastRenderedPageBreak/>
        <w:t>conditions médicales ou de définitions des handicaps.</w:t>
      </w:r>
    </w:p>
    <w:p w14:paraId="4E1AFF61" w14:textId="77777777" w:rsidR="00BF02D1" w:rsidRDefault="00000000">
      <w:pPr>
        <w:widowControl w:val="0"/>
        <w:spacing w:before="600"/>
        <w:jc w:val="left"/>
        <w:rPr>
          <w:color w:val="131A45"/>
        </w:rPr>
      </w:pPr>
      <w:r>
        <w:rPr>
          <w:rFonts w:ascii="Lexend SemiBold" w:eastAsia="Lexend SemiBold" w:hAnsi="Lexend SemiBold" w:cs="Lexend SemiBold"/>
          <w:color w:val="131A45"/>
        </w:rPr>
        <w:t>Conditions limitant l’énergie</w:t>
      </w:r>
      <w:r>
        <w:rPr>
          <w:color w:val="131A45"/>
        </w:rPr>
        <w:t xml:space="preserve"> : Terme utilisé pour désigner les symptômes et résultats de baisses d'énergie physique et cognitive.</w:t>
      </w:r>
    </w:p>
    <w:p w14:paraId="4E1AFF62" w14:textId="77777777" w:rsidR="00BF02D1" w:rsidRDefault="00000000">
      <w:pPr>
        <w:widowControl w:val="0"/>
        <w:numPr>
          <w:ilvl w:val="0"/>
          <w:numId w:val="75"/>
        </w:numPr>
        <w:jc w:val="left"/>
        <w:rPr>
          <w:color w:val="131A45"/>
        </w:rPr>
      </w:pPr>
      <w:r>
        <w:rPr>
          <w:color w:val="131A45"/>
        </w:rPr>
        <w:t>Ces fluctuations d’énergie peuvent être ressenties par les personnes vivant avec des problèmes de santé et des handicaps sous-jacents, mais aussi hors de tout diagnostic. Le rythme de vie, les besoins physiologiques de chaque personne ou les situations stressantes, par exemple, peuvent affecter de façon momentanée ou chronique la gestion d’énergie de quelqu’un.</w:t>
      </w:r>
    </w:p>
    <w:p w14:paraId="4E1AFF63" w14:textId="77777777" w:rsidR="00BF02D1" w:rsidRDefault="00000000">
      <w:pPr>
        <w:widowControl w:val="0"/>
        <w:numPr>
          <w:ilvl w:val="0"/>
          <w:numId w:val="75"/>
        </w:numPr>
        <w:jc w:val="left"/>
        <w:rPr>
          <w:color w:val="131A45"/>
        </w:rPr>
      </w:pPr>
      <w:r>
        <w:rPr>
          <w:color w:val="131A45"/>
        </w:rPr>
        <w:t xml:space="preserve">Réfléchir à ces conditions peut changer complètement nos manières d’accueillir nos spectatrices et spectateurs, mais aussi la construction de la dramaturgie de notre spectacle et les méthodes de travail avec nos équipes. </w:t>
      </w:r>
    </w:p>
    <w:p w14:paraId="4E1AFF64" w14:textId="77777777" w:rsidR="00BF02D1" w:rsidRDefault="00000000">
      <w:pPr>
        <w:widowControl w:val="0"/>
        <w:spacing w:before="600"/>
        <w:jc w:val="left"/>
        <w:rPr>
          <w:color w:val="131A45"/>
        </w:rPr>
      </w:pPr>
      <w:r>
        <w:rPr>
          <w:rFonts w:ascii="Lexend SemiBold" w:eastAsia="Lexend SemiBold" w:hAnsi="Lexend SemiBold" w:cs="Lexend SemiBold"/>
          <w:color w:val="131A45"/>
        </w:rPr>
        <w:t>Temporalité handicapée</w:t>
      </w:r>
      <w:r>
        <w:rPr>
          <w:color w:val="131A45"/>
          <w:vertAlign w:val="superscript"/>
        </w:rPr>
        <w:footnoteReference w:id="10"/>
      </w:r>
      <w:r>
        <w:rPr>
          <w:color w:val="131A45"/>
        </w:rPr>
        <w:t xml:space="preserve"> : Cette idée remet en question la conception normalisée du temps, en insistant sur les exigences découlant des réalités des personnes dites de la diversité fonctionnelle.</w:t>
      </w:r>
    </w:p>
    <w:p w14:paraId="4E1AFF65" w14:textId="77777777" w:rsidR="00BF02D1" w:rsidRDefault="00000000">
      <w:pPr>
        <w:widowControl w:val="0"/>
        <w:numPr>
          <w:ilvl w:val="0"/>
          <w:numId w:val="47"/>
        </w:numPr>
        <w:spacing w:after="200"/>
        <w:jc w:val="left"/>
        <w:rPr>
          <w:color w:val="131A45"/>
        </w:rPr>
      </w:pPr>
      <w:r>
        <w:rPr>
          <w:color w:val="131A45"/>
        </w:rPr>
        <w:t>Il y a ici volonté de respecter les besoins physiques et psychologiques, la charge mentale et les délais supplémentaires d’organisation ou de logistique associés aux réalités des personnes dites de la diversité fonctionnelle.</w:t>
      </w:r>
    </w:p>
    <w:p w14:paraId="4E1AFF66" w14:textId="77777777" w:rsidR="00BF02D1" w:rsidRDefault="00000000">
      <w:pPr>
        <w:widowControl w:val="0"/>
        <w:numPr>
          <w:ilvl w:val="0"/>
          <w:numId w:val="47"/>
        </w:numPr>
        <w:spacing w:after="200"/>
        <w:jc w:val="left"/>
        <w:rPr>
          <w:color w:val="131A45"/>
        </w:rPr>
      </w:pPr>
      <w:r>
        <w:rPr>
          <w:color w:val="131A45"/>
        </w:rPr>
        <w:t>Que ce soit sur scène ou en salle, il faut prioriser les valeurs d’inclusion plutôt que celles de productivité et de conformité à tout prix, ce qui permet une accessibilité accrue de toutes les personnes concernées.</w:t>
      </w:r>
    </w:p>
    <w:p w14:paraId="4E1AFF67" w14:textId="77777777" w:rsidR="00BF02D1" w:rsidRDefault="00000000">
      <w:pPr>
        <w:widowControl w:val="0"/>
        <w:spacing w:before="400"/>
        <w:rPr>
          <w:i/>
          <w:color w:val="131A45"/>
        </w:rPr>
      </w:pPr>
      <w:r>
        <w:rPr>
          <w:color w:val="131A45"/>
        </w:rPr>
        <w:t>L’accessibilité créative a aussi des démarches artistiques cousines, avec des concepts fort intéressants, qui méritent d'être connues. Pour en savoir plus, vous pouvez consulter l</w:t>
      </w:r>
      <w:hyperlink w:anchor="_heading=h.2r0uhxc">
        <w:r w:rsidR="00BF02D1">
          <w:rPr>
            <w:color w:val="1155CC"/>
          </w:rPr>
          <w:t>’</w:t>
        </w:r>
      </w:hyperlink>
      <w:hyperlink w:anchor="_heading=h.2r0uhxc">
        <w:r w:rsidR="00BF02D1">
          <w:rPr>
            <w:i/>
            <w:color w:val="131A45"/>
            <w:u w:val="single"/>
          </w:rPr>
          <w:t xml:space="preserve">Annexe 1 - Concepts associés. </w:t>
        </w:r>
      </w:hyperlink>
    </w:p>
    <w:p w14:paraId="4E1AFF68" w14:textId="5E72FD9E" w:rsidR="00BF02D1" w:rsidRDefault="00C23744">
      <w:pPr>
        <w:pStyle w:val="Titre2"/>
        <w:ind w:right="360"/>
      </w:pPr>
      <w:bookmarkStart w:id="18" w:name="_heading=h.2jxsxqh" w:colFirst="0" w:colLast="0"/>
      <w:bookmarkEnd w:id="18"/>
      <w:r>
        <w:rPr>
          <w:noProof/>
        </w:rPr>
        <w:lastRenderedPageBreak/>
        <w:drawing>
          <wp:anchor distT="0" distB="0" distL="0" distR="0" simplePos="0" relativeHeight="251677696" behindDoc="1" locked="0" layoutInCell="1" hidden="0" allowOverlap="1" wp14:anchorId="4E1B0121" wp14:editId="78FAB7C5">
            <wp:simplePos x="0" y="0"/>
            <wp:positionH relativeFrom="page">
              <wp:posOffset>2894330</wp:posOffset>
            </wp:positionH>
            <wp:positionV relativeFrom="page">
              <wp:posOffset>698028</wp:posOffset>
            </wp:positionV>
            <wp:extent cx="4492625" cy="600075"/>
            <wp:effectExtent l="0" t="0" r="3175" b="0"/>
            <wp:wrapNone/>
            <wp:docPr id="130602835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492625" cy="600075"/>
                    </a:xfrm>
                    <a:prstGeom prst="rect">
                      <a:avLst/>
                    </a:prstGeom>
                    <a:ln/>
                  </pic:spPr>
                </pic:pic>
              </a:graphicData>
            </a:graphic>
          </wp:anchor>
        </w:drawing>
      </w:r>
      <w:r>
        <w:rPr>
          <w:noProof/>
        </w:rPr>
        <w:drawing>
          <wp:anchor distT="0" distB="0" distL="0" distR="0" simplePos="0" relativeHeight="251678720" behindDoc="1" locked="0" layoutInCell="1" hidden="0" allowOverlap="1" wp14:anchorId="4E1B0123" wp14:editId="7C787255">
            <wp:simplePos x="0" y="0"/>
            <wp:positionH relativeFrom="page">
              <wp:posOffset>3729355</wp:posOffset>
            </wp:positionH>
            <wp:positionV relativeFrom="page">
              <wp:posOffset>697393</wp:posOffset>
            </wp:positionV>
            <wp:extent cx="4492625" cy="600075"/>
            <wp:effectExtent l="0" t="0" r="3175" b="0"/>
            <wp:wrapNone/>
            <wp:docPr id="130602839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492625" cy="600075"/>
                    </a:xfrm>
                    <a:prstGeom prst="rect">
                      <a:avLst/>
                    </a:prstGeom>
                    <a:ln/>
                  </pic:spPr>
                </pic:pic>
              </a:graphicData>
            </a:graphic>
          </wp:anchor>
        </w:drawing>
      </w:r>
      <w:r>
        <w:t>Pièges de l’accessibilité créative</w:t>
      </w:r>
    </w:p>
    <w:p w14:paraId="4E1AFF69" w14:textId="77777777" w:rsidR="00BF02D1" w:rsidRDefault="00000000">
      <w:pPr>
        <w:widowControl w:val="0"/>
        <w:jc w:val="left"/>
        <w:rPr>
          <w:color w:val="131A45"/>
        </w:rPr>
      </w:pPr>
      <w:r>
        <w:rPr>
          <w:color w:val="131A45"/>
        </w:rPr>
        <w:t xml:space="preserve">Comme dans toutes pratiques, il y a plusieurs pièges dans lesquels il est possible de tomber. </w:t>
      </w:r>
    </w:p>
    <w:p w14:paraId="4E1AFF6A" w14:textId="77777777" w:rsidR="00BF02D1" w:rsidRDefault="00000000">
      <w:pPr>
        <w:widowControl w:val="0"/>
        <w:spacing w:before="400"/>
        <w:jc w:val="left"/>
        <w:rPr>
          <w:color w:val="131A45"/>
        </w:rPr>
      </w:pPr>
      <w:r>
        <w:rPr>
          <w:color w:val="131A45"/>
        </w:rPr>
        <w:t xml:space="preserve">À force de travailler sur le sujet, certaines théories nous semblent particulièrement importantes à aborder, afin de s’assurer de les distinguer et de les enrayer de nos processus. </w:t>
      </w:r>
    </w:p>
    <w:p w14:paraId="4E1AFF6B" w14:textId="77777777" w:rsidR="00BF02D1" w:rsidRDefault="00000000">
      <w:pPr>
        <w:widowControl w:val="0"/>
        <w:spacing w:before="600" w:after="240"/>
        <w:jc w:val="left"/>
        <w:rPr>
          <w:color w:val="131A45"/>
        </w:rPr>
      </w:pPr>
      <w:r>
        <w:rPr>
          <w:rFonts w:ascii="Lexend SemiBold" w:eastAsia="Lexend SemiBold" w:hAnsi="Lexend SemiBold" w:cs="Lexend SemiBold"/>
          <w:color w:val="131A45"/>
        </w:rPr>
        <w:t>L’utopie de l’accessibilité universelle</w:t>
      </w:r>
      <w:r>
        <w:rPr>
          <w:color w:val="131A45"/>
        </w:rPr>
        <w:t xml:space="preserve"> : Comme plusieurs spécialistes le mentionnent</w:t>
      </w:r>
      <w:r>
        <w:rPr>
          <w:color w:val="131A45"/>
          <w:vertAlign w:val="superscript"/>
        </w:rPr>
        <w:footnoteReference w:id="11"/>
      </w:r>
      <w:r>
        <w:rPr>
          <w:color w:val="131A45"/>
        </w:rPr>
        <w:t xml:space="preserve">, bien que le concept de l’accessibilité universelle soit primordial et qu’il faille y aspirer, il reste très difficilement réalisable.  </w:t>
      </w:r>
    </w:p>
    <w:p w14:paraId="4E1AFF6C" w14:textId="77777777" w:rsidR="00BF02D1" w:rsidRDefault="00000000">
      <w:pPr>
        <w:widowControl w:val="0"/>
        <w:numPr>
          <w:ilvl w:val="0"/>
          <w:numId w:val="66"/>
        </w:numPr>
        <w:spacing w:after="240"/>
        <w:jc w:val="left"/>
        <w:rPr>
          <w:color w:val="131A45"/>
        </w:rPr>
      </w:pPr>
      <w:r>
        <w:rPr>
          <w:color w:val="131A45"/>
        </w:rPr>
        <w:t>Dès le moment où on veut s’assurer de répondre à certains besoins, ces adaptations ont la possibilité de freiner ou d’empiéter sur les besoins ou mesures d’accessibilité pour d’autres personnes.</w:t>
      </w:r>
    </w:p>
    <w:p w14:paraId="4E1AFF6D" w14:textId="77777777" w:rsidR="00BF02D1" w:rsidRDefault="00000000">
      <w:pPr>
        <w:numPr>
          <w:ilvl w:val="0"/>
          <w:numId w:val="66"/>
        </w:numPr>
        <w:rPr>
          <w:color w:val="131A45"/>
        </w:rPr>
      </w:pPr>
      <w:r>
        <w:rPr>
          <w:color w:val="131A45"/>
        </w:rPr>
        <w:t>Les limites des ressources humaines, matérielles et monétaires restent aussi un enjeu en accessibilité universelle. Certains besoins nécessitent un plus grand nombre de ressources et sont parfois simplement impossibles à mettre en place dans certains cadres ou irréalisables en même temps que d'autres accessibilités mises en place.</w:t>
      </w:r>
    </w:p>
    <w:p w14:paraId="4E1AFF6E" w14:textId="77777777" w:rsidR="00BF02D1" w:rsidRDefault="00000000">
      <w:pPr>
        <w:widowControl w:val="0"/>
        <w:numPr>
          <w:ilvl w:val="0"/>
          <w:numId w:val="66"/>
        </w:numPr>
        <w:spacing w:after="600"/>
        <w:jc w:val="left"/>
        <w:rPr>
          <w:color w:val="131A45"/>
        </w:rPr>
      </w:pPr>
      <w:r>
        <w:rPr>
          <w:color w:val="131A45"/>
        </w:rPr>
        <w:t xml:space="preserve">Cela ne signifie pas qu’il ne faut pas chercher des solutions visant l’accessibilité universelle, mais qu’on doit être conscient des limites d’un accès égalitaire, en même temps, à toutes et tous. Il est ainsi important de diversifier les types d’accessibilité lors des différents évènements. </w:t>
      </w:r>
    </w:p>
    <w:p w14:paraId="4E1AFF6F" w14:textId="77777777" w:rsidR="00BF02D1" w:rsidRDefault="00000000">
      <w:pPr>
        <w:widowControl w:val="0"/>
        <w:spacing w:after="240"/>
        <w:jc w:val="left"/>
        <w:rPr>
          <w:color w:val="131A45"/>
        </w:rPr>
      </w:pPr>
      <w:proofErr w:type="spellStart"/>
      <w:r>
        <w:rPr>
          <w:rFonts w:ascii="Lexend SemiBold" w:eastAsia="Lexend SemiBold" w:hAnsi="Lexend SemiBold" w:cs="Lexend SemiBold"/>
          <w:color w:val="131A45"/>
        </w:rPr>
        <w:lastRenderedPageBreak/>
        <w:t>Tokénisme</w:t>
      </w:r>
      <w:proofErr w:type="spellEnd"/>
      <w:r>
        <w:rPr>
          <w:b/>
          <w:color w:val="131A45"/>
        </w:rPr>
        <w:t xml:space="preserve"> :</w:t>
      </w:r>
      <w:r>
        <w:rPr>
          <w:color w:val="131A45"/>
        </w:rPr>
        <w:t xml:space="preserve">  Poser un geste superficiel pour l'inclusion des membres des groupes dits marginalisés simplement pour faire bonne figure. </w:t>
      </w:r>
    </w:p>
    <w:p w14:paraId="4E1AFF70" w14:textId="77777777" w:rsidR="00BF02D1" w:rsidRDefault="00000000">
      <w:pPr>
        <w:widowControl w:val="0"/>
        <w:numPr>
          <w:ilvl w:val="0"/>
          <w:numId w:val="24"/>
        </w:numPr>
        <w:spacing w:after="240"/>
        <w:jc w:val="left"/>
        <w:rPr>
          <w:color w:val="131A45"/>
        </w:rPr>
      </w:pPr>
      <w:r>
        <w:rPr>
          <w:color w:val="131A45"/>
        </w:rPr>
        <w:t xml:space="preserve">Malgré toute la bonne volonté dont on peut faire preuve, la ligne est mince pour respecter l’éthique et ne pas tomber dans le </w:t>
      </w:r>
      <w:proofErr w:type="spellStart"/>
      <w:r>
        <w:rPr>
          <w:color w:val="131A45"/>
        </w:rPr>
        <w:t>tokénisme</w:t>
      </w:r>
      <w:proofErr w:type="spellEnd"/>
      <w:r>
        <w:rPr>
          <w:color w:val="131A45"/>
        </w:rPr>
        <w:t xml:space="preserve">, par exemple quand on a l’impression qu’il faut cocher certaines cases pour avoir accès à des ressources. </w:t>
      </w:r>
    </w:p>
    <w:p w14:paraId="4E1AFF71" w14:textId="77777777" w:rsidR="00BF02D1" w:rsidRDefault="00000000">
      <w:pPr>
        <w:widowControl w:val="0"/>
        <w:numPr>
          <w:ilvl w:val="0"/>
          <w:numId w:val="24"/>
        </w:numPr>
        <w:spacing w:after="240"/>
        <w:jc w:val="left"/>
        <w:rPr>
          <w:color w:val="131A45"/>
        </w:rPr>
      </w:pPr>
      <w:r>
        <w:rPr>
          <w:color w:val="131A45"/>
        </w:rPr>
        <w:t xml:space="preserve">La différence entre du </w:t>
      </w:r>
      <w:proofErr w:type="spellStart"/>
      <w:r>
        <w:rPr>
          <w:color w:val="131A45"/>
        </w:rPr>
        <w:t>tokénisme</w:t>
      </w:r>
      <w:proofErr w:type="spellEnd"/>
      <w:r>
        <w:rPr>
          <w:color w:val="131A45"/>
        </w:rPr>
        <w:t xml:space="preserve"> et une réelle inclusion ? L’inclusion se doit d’impliquer les communautés dites marginalisées dans toutes les étapes d’un processus, avec un pouvoir de parole et de décision tangible, ainsi qu’une influence concrète sur le résultat final et leur représentation.</w:t>
      </w:r>
    </w:p>
    <w:p w14:paraId="4E1AFF72" w14:textId="77777777" w:rsidR="00BF02D1" w:rsidRDefault="00000000">
      <w:pPr>
        <w:widowControl w:val="0"/>
        <w:spacing w:before="600" w:after="240"/>
        <w:jc w:val="left"/>
        <w:rPr>
          <w:color w:val="131A45"/>
        </w:rPr>
      </w:pPr>
      <w:r>
        <w:rPr>
          <w:rFonts w:ascii="Lexend SemiBold" w:eastAsia="Lexend SemiBold" w:hAnsi="Lexend SemiBold" w:cs="Lexend SemiBold"/>
          <w:color w:val="131A45"/>
        </w:rPr>
        <w:t>Pornographie de l’inspiration</w:t>
      </w:r>
      <w:r>
        <w:rPr>
          <w:color w:val="131A45"/>
          <w:vertAlign w:val="superscript"/>
        </w:rPr>
        <w:footnoteReference w:id="12"/>
      </w:r>
      <w:r>
        <w:rPr>
          <w:b/>
          <w:color w:val="131A45"/>
        </w:rPr>
        <w:t xml:space="preserve"> :</w:t>
      </w:r>
      <w:r>
        <w:rPr>
          <w:color w:val="131A45"/>
        </w:rPr>
        <w:t xml:space="preserve"> Terme de l'activiste </w:t>
      </w:r>
      <w:r w:rsidRPr="00C23744">
        <w:rPr>
          <w:color w:val="131A45"/>
        </w:rPr>
        <w:t>Stella Young</w:t>
      </w:r>
      <w:r>
        <w:rPr>
          <w:color w:val="131A45"/>
        </w:rPr>
        <w:t xml:space="preserve"> (2014) pour décrire du contenu représentant des personnes dites de la diversité fonctionnelle </w:t>
      </w:r>
      <w:proofErr w:type="gramStart"/>
      <w:r>
        <w:rPr>
          <w:color w:val="131A45"/>
        </w:rPr>
        <w:t>de façon à ce</w:t>
      </w:r>
      <w:proofErr w:type="gramEnd"/>
      <w:r>
        <w:rPr>
          <w:color w:val="131A45"/>
        </w:rPr>
        <w:t xml:space="preserve"> qu’elles deviennent alors, par leur seule existence, des « preuves de courage » et des sources d’inspiration pour les personnes hors de ces communautés.</w:t>
      </w:r>
    </w:p>
    <w:p w14:paraId="4E1AFF73" w14:textId="77777777" w:rsidR="00BF02D1" w:rsidRDefault="00000000">
      <w:pPr>
        <w:widowControl w:val="0"/>
        <w:numPr>
          <w:ilvl w:val="0"/>
          <w:numId w:val="35"/>
        </w:numPr>
        <w:spacing w:after="240"/>
        <w:jc w:val="left"/>
        <w:rPr>
          <w:color w:val="131A45"/>
        </w:rPr>
      </w:pPr>
      <w:r>
        <w:rPr>
          <w:color w:val="131A45"/>
        </w:rPr>
        <w:t xml:space="preserve">Il s'agit d'une forme de </w:t>
      </w:r>
      <w:proofErr w:type="spellStart"/>
      <w:r>
        <w:rPr>
          <w:color w:val="131A45"/>
        </w:rPr>
        <w:t>capacitisme</w:t>
      </w:r>
      <w:proofErr w:type="spellEnd"/>
      <w:r>
        <w:rPr>
          <w:color w:val="131A45"/>
        </w:rPr>
        <w:t xml:space="preserve"> dans laquelle il est particulièrement facile de tomber, considérant le discours social traditionnel entourant les personnes en situation de handicap.</w:t>
      </w:r>
    </w:p>
    <w:p w14:paraId="4E1AFF74" w14:textId="77777777" w:rsidR="00BF02D1" w:rsidRDefault="00000000">
      <w:pPr>
        <w:widowControl w:val="0"/>
        <w:spacing w:before="600" w:after="240"/>
        <w:jc w:val="left"/>
        <w:rPr>
          <w:color w:val="131A45"/>
        </w:rPr>
      </w:pPr>
      <w:r>
        <w:rPr>
          <w:rFonts w:ascii="Lexend SemiBold" w:eastAsia="Lexend SemiBold" w:hAnsi="Lexend SemiBold" w:cs="Lexend SemiBold"/>
          <w:color w:val="131A45"/>
        </w:rPr>
        <w:t>L’intimité forcée</w:t>
      </w:r>
      <w:r>
        <w:rPr>
          <w:color w:val="131A45"/>
          <w:vertAlign w:val="superscript"/>
        </w:rPr>
        <w:footnoteReference w:id="13"/>
      </w:r>
      <w:r>
        <w:rPr>
          <w:color w:val="131A45"/>
        </w:rPr>
        <w:t xml:space="preserve"> : Concept de </w:t>
      </w:r>
      <w:r w:rsidRPr="00C23744">
        <w:rPr>
          <w:color w:val="131A45"/>
        </w:rPr>
        <w:t>Mia Mingus</w:t>
      </w:r>
      <w:r>
        <w:rPr>
          <w:color w:val="131A45"/>
        </w:rPr>
        <w:t xml:space="preserve"> (2017) pour expliquer l'expérience commune et quotidienne des personnes en situation de handicap qui doivent partager des éléments personnels, voire intimes, pour survivre dans un monde </w:t>
      </w:r>
      <w:proofErr w:type="spellStart"/>
      <w:r>
        <w:rPr>
          <w:color w:val="131A45"/>
        </w:rPr>
        <w:t>capacitiste</w:t>
      </w:r>
      <w:proofErr w:type="spellEnd"/>
      <w:r>
        <w:rPr>
          <w:color w:val="131A45"/>
        </w:rPr>
        <w:t>.</w:t>
      </w:r>
    </w:p>
    <w:p w14:paraId="4E1AFF75" w14:textId="77777777" w:rsidR="00BF02D1" w:rsidRDefault="00000000">
      <w:pPr>
        <w:widowControl w:val="0"/>
        <w:numPr>
          <w:ilvl w:val="0"/>
          <w:numId w:val="16"/>
        </w:numPr>
        <w:spacing w:after="240"/>
        <w:jc w:val="left"/>
        <w:rPr>
          <w:color w:val="131A45"/>
        </w:rPr>
      </w:pPr>
      <w:r>
        <w:rPr>
          <w:color w:val="131A45"/>
        </w:rPr>
        <w:t xml:space="preserve">Cela inclut le devoir de partager des informations personnelles pour obtenir accès à des ressources de base et l’intimité physique forcée pour celles et ceux qui ont besoin d’une aide physique qui nécessite qu’on touche leur corps. </w:t>
      </w:r>
      <w:r>
        <w:rPr>
          <w:color w:val="131A45"/>
          <w:shd w:val="clear" w:color="auto" w:fill="B4A7D6"/>
        </w:rPr>
        <w:t xml:space="preserve"> </w:t>
      </w:r>
    </w:p>
    <w:p w14:paraId="4E1AFF76" w14:textId="77777777" w:rsidR="00BF02D1" w:rsidRDefault="00000000">
      <w:pPr>
        <w:widowControl w:val="0"/>
        <w:numPr>
          <w:ilvl w:val="0"/>
          <w:numId w:val="16"/>
        </w:numPr>
        <w:spacing w:after="240"/>
        <w:jc w:val="left"/>
        <w:rPr>
          <w:color w:val="131A45"/>
        </w:rPr>
      </w:pPr>
      <w:r>
        <w:rPr>
          <w:color w:val="131A45"/>
        </w:rPr>
        <w:t xml:space="preserve">Les conditions médicales et les diagnostics ne regardent pas autrui, et leur divulgation ne devrait relever que du choix de la personne concernée. C’est une </w:t>
      </w:r>
      <w:r>
        <w:rPr>
          <w:color w:val="131A45"/>
        </w:rPr>
        <w:lastRenderedPageBreak/>
        <w:t xml:space="preserve">autre raison pour laquelle il est important de se focaliser sur les besoins, et non sur les situations. </w:t>
      </w:r>
    </w:p>
    <w:p w14:paraId="4E1AFF77" w14:textId="77777777" w:rsidR="00BF02D1" w:rsidRDefault="00000000">
      <w:pPr>
        <w:widowControl w:val="0"/>
        <w:spacing w:before="600" w:after="240"/>
        <w:jc w:val="left"/>
        <w:rPr>
          <w:color w:val="131A45"/>
        </w:rPr>
      </w:pPr>
      <w:r>
        <w:rPr>
          <w:rFonts w:ascii="Lexend SemiBold" w:eastAsia="Lexend SemiBold" w:hAnsi="Lexend SemiBold" w:cs="Lexend SemiBold"/>
          <w:color w:val="131A45"/>
        </w:rPr>
        <w:t>Ne pas réaliser les différences entre les communautés</w:t>
      </w:r>
      <w:r>
        <w:rPr>
          <w:color w:val="131A45"/>
        </w:rPr>
        <w:t xml:space="preserve"> : Le terme « diversité fonctionnelle » regroupe plus de 200 conditions, chacune avec ses réalités, spécificités et besoins. Nous utilisons ce terme pour éviter les longues énumérations, mais les personnes dites de la diversité fonctionnelle ne devraient pas être traitées comme une seule communauté homogène, qui fait face à tous les mêmes enjeux.</w:t>
      </w:r>
    </w:p>
    <w:p w14:paraId="4E1AFF78" w14:textId="77777777" w:rsidR="00BF02D1" w:rsidRDefault="00000000">
      <w:pPr>
        <w:pStyle w:val="Titre3"/>
      </w:pPr>
      <w:bookmarkStart w:id="19" w:name="_heading=h.z337ya" w:colFirst="0" w:colLast="0"/>
      <w:bookmarkEnd w:id="19"/>
      <w:r>
        <w:t xml:space="preserve">QUELQUES PISTES DE SOLUTIONS POUR ÉVITER LES PIÈGES </w:t>
      </w:r>
    </w:p>
    <w:p w14:paraId="4E1AFF79" w14:textId="77777777" w:rsidR="00BF02D1" w:rsidRDefault="00000000">
      <w:pPr>
        <w:widowControl w:val="0"/>
        <w:numPr>
          <w:ilvl w:val="0"/>
          <w:numId w:val="63"/>
        </w:numPr>
        <w:spacing w:before="400" w:after="200"/>
        <w:jc w:val="left"/>
        <w:rPr>
          <w:color w:val="131A45"/>
        </w:rPr>
      </w:pPr>
      <w:r>
        <w:rPr>
          <w:color w:val="131A45"/>
        </w:rPr>
        <w:t>Lors de la planification de votre projet, identifiez des besoins précis d’accessibilité que vous pouvez réellement satisfaire. Concentrez-vous sur les aménagements et solutions créatives que vous avez les moyens et les compétences de mettre en place. Cela vous permettra d’offrir des solutions concrètes et efficaces, plutôt que de mal servir un groupe trop large.</w:t>
      </w:r>
    </w:p>
    <w:p w14:paraId="4E1AFF7A" w14:textId="77777777" w:rsidR="00BF02D1" w:rsidRDefault="00000000">
      <w:pPr>
        <w:numPr>
          <w:ilvl w:val="0"/>
          <w:numId w:val="63"/>
        </w:numPr>
        <w:rPr>
          <w:color w:val="131A45"/>
        </w:rPr>
      </w:pPr>
      <w:r>
        <w:rPr>
          <w:color w:val="131A45"/>
        </w:rPr>
        <w:t>Soyez honnêtes sur les limites de l'accessibilité que vous pouvez offrir et mentionnez-les clairement dans vos communications. Cela évitera à certaines personnes de se déplacer inutilement.</w:t>
      </w:r>
    </w:p>
    <w:p w14:paraId="4E1AFF7B" w14:textId="77777777" w:rsidR="00BF02D1" w:rsidRDefault="00000000">
      <w:pPr>
        <w:widowControl w:val="0"/>
        <w:numPr>
          <w:ilvl w:val="0"/>
          <w:numId w:val="63"/>
        </w:numPr>
        <w:jc w:val="left"/>
        <w:rPr>
          <w:color w:val="131A45"/>
        </w:rPr>
      </w:pPr>
      <w:r>
        <w:rPr>
          <w:color w:val="131A45"/>
        </w:rPr>
        <w:t>Ne demandez jamais à une personne de quitter son aide à la mobilité, comme une canne, une marchette ou un fauteuil roulant, sauf à sa demande, même si de l’aide lui est proposée. Organisez plutôt votre espace en conséquence.</w:t>
      </w:r>
    </w:p>
    <w:p w14:paraId="4E1AFF7C" w14:textId="77777777" w:rsidR="00BF02D1" w:rsidRDefault="00000000">
      <w:pPr>
        <w:widowControl w:val="0"/>
        <w:numPr>
          <w:ilvl w:val="0"/>
          <w:numId w:val="63"/>
        </w:numPr>
        <w:spacing w:after="200"/>
        <w:jc w:val="left"/>
        <w:rPr>
          <w:color w:val="131A45"/>
        </w:rPr>
      </w:pPr>
      <w:r>
        <w:rPr>
          <w:color w:val="131A45"/>
        </w:rPr>
        <w:t>Rappelez-vous de l’unicité de chaque individu et n’oubliez pas que les situations peuvent être en constant changement, s’avérer temporaires ou se développer dans le temps.</w:t>
      </w:r>
    </w:p>
    <w:p w14:paraId="4E1AFF7D" w14:textId="77777777" w:rsidR="00BF02D1" w:rsidRDefault="00000000">
      <w:pPr>
        <w:widowControl w:val="0"/>
        <w:numPr>
          <w:ilvl w:val="0"/>
          <w:numId w:val="35"/>
        </w:numPr>
        <w:spacing w:after="240"/>
        <w:jc w:val="left"/>
        <w:rPr>
          <w:color w:val="131A45"/>
        </w:rPr>
      </w:pPr>
      <w:r>
        <w:rPr>
          <w:color w:val="131A45"/>
        </w:rPr>
        <w:t xml:space="preserve">Prenez le temps de vous éduquer sur les diverses formes du </w:t>
      </w:r>
      <w:proofErr w:type="spellStart"/>
      <w:r>
        <w:rPr>
          <w:color w:val="131A45"/>
        </w:rPr>
        <w:t>capacitisme</w:t>
      </w:r>
      <w:proofErr w:type="spellEnd"/>
      <w:r>
        <w:rPr>
          <w:color w:val="131A45"/>
        </w:rPr>
        <w:t>, leurs nuances et leurs subtilités.</w:t>
      </w:r>
    </w:p>
    <w:p w14:paraId="4E1AFF7E" w14:textId="46CBCC65" w:rsidR="00BF02D1" w:rsidRDefault="00C23744">
      <w:pPr>
        <w:pStyle w:val="Titre2"/>
        <w:ind w:right="360"/>
      </w:pPr>
      <w:bookmarkStart w:id="20" w:name="_heading=h.3j2qqm3" w:colFirst="0" w:colLast="0"/>
      <w:bookmarkEnd w:id="20"/>
      <w:r>
        <w:rPr>
          <w:noProof/>
        </w:rPr>
        <w:lastRenderedPageBreak/>
        <w:drawing>
          <wp:anchor distT="0" distB="0" distL="0" distR="0" simplePos="0" relativeHeight="251679744" behindDoc="1" locked="0" layoutInCell="1" hidden="0" allowOverlap="1" wp14:anchorId="4E1B0125" wp14:editId="18124B3D">
            <wp:simplePos x="0" y="0"/>
            <wp:positionH relativeFrom="page">
              <wp:posOffset>2686685</wp:posOffset>
            </wp:positionH>
            <wp:positionV relativeFrom="page">
              <wp:posOffset>697702</wp:posOffset>
            </wp:positionV>
            <wp:extent cx="4492625" cy="600075"/>
            <wp:effectExtent l="0" t="0" r="3175" b="0"/>
            <wp:wrapNone/>
            <wp:docPr id="130602837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492625" cy="600075"/>
                    </a:xfrm>
                    <a:prstGeom prst="rect">
                      <a:avLst/>
                    </a:prstGeom>
                    <a:ln/>
                  </pic:spPr>
                </pic:pic>
              </a:graphicData>
            </a:graphic>
          </wp:anchor>
        </w:drawing>
      </w:r>
      <w:r>
        <w:rPr>
          <w:noProof/>
        </w:rPr>
        <w:drawing>
          <wp:anchor distT="0" distB="0" distL="0" distR="0" simplePos="0" relativeHeight="251680768" behindDoc="1" locked="0" layoutInCell="1" hidden="0" allowOverlap="1" wp14:anchorId="4E1B0127" wp14:editId="136D07E6">
            <wp:simplePos x="0" y="0"/>
            <wp:positionH relativeFrom="page">
              <wp:posOffset>4172585</wp:posOffset>
            </wp:positionH>
            <wp:positionV relativeFrom="page">
              <wp:posOffset>695797</wp:posOffset>
            </wp:positionV>
            <wp:extent cx="4492625" cy="600075"/>
            <wp:effectExtent l="0" t="0" r="3175" b="0"/>
            <wp:wrapNone/>
            <wp:docPr id="130602839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492625" cy="600075"/>
                    </a:xfrm>
                    <a:prstGeom prst="rect">
                      <a:avLst/>
                    </a:prstGeom>
                    <a:ln/>
                  </pic:spPr>
                </pic:pic>
              </a:graphicData>
            </a:graphic>
          </wp:anchor>
        </w:drawing>
      </w:r>
      <w:r>
        <w:t>Principes de l’accessibilité créative</w:t>
      </w:r>
    </w:p>
    <w:p w14:paraId="4E1AFF7F" w14:textId="77777777" w:rsidR="00BF02D1" w:rsidRDefault="00000000">
      <w:pPr>
        <w:widowControl w:val="0"/>
        <w:spacing w:after="400"/>
        <w:jc w:val="left"/>
        <w:rPr>
          <w:color w:val="131A45"/>
        </w:rPr>
      </w:pPr>
      <w:r>
        <w:rPr>
          <w:color w:val="131A45"/>
        </w:rPr>
        <w:t>Voici les principes de base entourant l’accessibilité créative et le travail avec les équipes entourant ce processus de création :</w:t>
      </w:r>
    </w:p>
    <w:p w14:paraId="4E1AFF80" w14:textId="77777777" w:rsidR="00BF02D1" w:rsidRDefault="00000000">
      <w:pPr>
        <w:widowControl w:val="0"/>
        <w:numPr>
          <w:ilvl w:val="0"/>
          <w:numId w:val="55"/>
        </w:numPr>
        <w:spacing w:after="400"/>
        <w:jc w:val="left"/>
        <w:rPr>
          <w:color w:val="131A45"/>
        </w:rPr>
      </w:pPr>
      <w:r>
        <w:rPr>
          <w:color w:val="131A45"/>
        </w:rPr>
        <w:t>L’accessibilité et l’inclusivité doivent être mises de l’avant dès de début du processus.</w:t>
      </w:r>
    </w:p>
    <w:p w14:paraId="4E1AFF81" w14:textId="77777777" w:rsidR="00BF02D1" w:rsidRDefault="00000000">
      <w:pPr>
        <w:widowControl w:val="0"/>
        <w:numPr>
          <w:ilvl w:val="0"/>
          <w:numId w:val="55"/>
        </w:numPr>
        <w:spacing w:after="400"/>
        <w:jc w:val="left"/>
        <w:rPr>
          <w:color w:val="131A45"/>
        </w:rPr>
      </w:pPr>
      <w:r>
        <w:rPr>
          <w:color w:val="131A45"/>
        </w:rPr>
        <w:t>Il faut faire des choix : de types d’accessibilité, de besoins qui peuvent être accueillis en ce moment, de priorités, etc. Ne pas faire de choix clairs et assumés ne peut que nuire à l’accessibilité qu’on aspire à mettre en place.</w:t>
      </w:r>
    </w:p>
    <w:p w14:paraId="4E1AFF82" w14:textId="77777777" w:rsidR="00BF02D1" w:rsidRDefault="00000000">
      <w:pPr>
        <w:widowControl w:val="0"/>
        <w:numPr>
          <w:ilvl w:val="0"/>
          <w:numId w:val="55"/>
        </w:numPr>
        <w:spacing w:after="400"/>
        <w:jc w:val="left"/>
        <w:rPr>
          <w:color w:val="131A45"/>
        </w:rPr>
      </w:pPr>
      <w:r>
        <w:rPr>
          <w:color w:val="131A45"/>
        </w:rPr>
        <w:t>La production compte maintenant deux aspects primordiaux : la création artistique et son accessibilité. Aucun des deux ne peut supplanter l’autre.</w:t>
      </w:r>
    </w:p>
    <w:p w14:paraId="4E1AFF83" w14:textId="77777777" w:rsidR="00BF02D1" w:rsidRDefault="00000000">
      <w:pPr>
        <w:widowControl w:val="0"/>
        <w:numPr>
          <w:ilvl w:val="0"/>
          <w:numId w:val="55"/>
        </w:numPr>
        <w:spacing w:after="400"/>
        <w:jc w:val="left"/>
        <w:rPr>
          <w:color w:val="131A45"/>
        </w:rPr>
      </w:pPr>
      <w:r>
        <w:rPr>
          <w:color w:val="131A45"/>
        </w:rPr>
        <w:t xml:space="preserve">Planifiez vos budgets en fonction du principe d’accessibilité créative dès les demandes de subventions. L’accessibilité implique des coûts. </w:t>
      </w:r>
    </w:p>
    <w:p w14:paraId="4E1AFF84" w14:textId="77777777" w:rsidR="00BF02D1" w:rsidRDefault="00000000">
      <w:pPr>
        <w:widowControl w:val="0"/>
        <w:numPr>
          <w:ilvl w:val="0"/>
          <w:numId w:val="55"/>
        </w:numPr>
        <w:spacing w:after="400"/>
        <w:jc w:val="left"/>
        <w:rPr>
          <w:color w:val="131A45"/>
        </w:rPr>
      </w:pPr>
      <w:r>
        <w:rPr>
          <w:color w:val="131A45"/>
        </w:rPr>
        <w:t xml:space="preserve">L’accessibilité demande du temps pour être implantée adéquatement. Prévoyez la durée des étapes, les calendriers et les résidences en conséquence. Certaines choses risquent d'être plus dures ou plus longues que d’habitude. </w:t>
      </w:r>
    </w:p>
    <w:p w14:paraId="4E1AFF85" w14:textId="77777777" w:rsidR="00BF02D1" w:rsidRDefault="00000000">
      <w:pPr>
        <w:widowControl w:val="0"/>
        <w:numPr>
          <w:ilvl w:val="0"/>
          <w:numId w:val="55"/>
        </w:numPr>
        <w:spacing w:after="400"/>
        <w:jc w:val="left"/>
        <w:rPr>
          <w:color w:val="131A45"/>
        </w:rPr>
      </w:pPr>
      <w:r>
        <w:rPr>
          <w:color w:val="131A45"/>
        </w:rPr>
        <w:t>La créativité intégrée dans une mesure d’accessibilité ne doit pas la dévier de sa fonction première : répondre aux besoins visés.</w:t>
      </w:r>
    </w:p>
    <w:p w14:paraId="4E1AFF86" w14:textId="77777777" w:rsidR="00BF02D1" w:rsidRDefault="00000000">
      <w:pPr>
        <w:widowControl w:val="0"/>
        <w:numPr>
          <w:ilvl w:val="0"/>
          <w:numId w:val="55"/>
        </w:numPr>
        <w:spacing w:after="400"/>
        <w:jc w:val="left"/>
        <w:rPr>
          <w:color w:val="131A45"/>
        </w:rPr>
      </w:pPr>
      <w:r>
        <w:rPr>
          <w:color w:val="131A45"/>
        </w:rPr>
        <w:t xml:space="preserve">Pour mettre adéquatement en pratique l’accessibilité, des éléments doivent être parfois enlevés, transformés et repensés. Accepter ces pertes et ces choix nourrit la créativité et amène à réfléchir autrement. </w:t>
      </w:r>
    </w:p>
    <w:p w14:paraId="4E1AFF87" w14:textId="77777777" w:rsidR="00BF02D1" w:rsidRDefault="00000000">
      <w:pPr>
        <w:widowControl w:val="0"/>
        <w:numPr>
          <w:ilvl w:val="0"/>
          <w:numId w:val="55"/>
        </w:numPr>
        <w:spacing w:after="400"/>
        <w:jc w:val="left"/>
        <w:rPr>
          <w:color w:val="131A45"/>
        </w:rPr>
      </w:pPr>
      <w:r>
        <w:rPr>
          <w:color w:val="131A45"/>
        </w:rPr>
        <w:t>Demandez, écoutez, respectez, vérifiez et contre-vérifiez au besoin. S’assurer d’avoir les bonnes informations ne peut se valider que par l’écoute.</w:t>
      </w:r>
    </w:p>
    <w:p w14:paraId="4E1AFF88" w14:textId="77777777" w:rsidR="00BF02D1" w:rsidRDefault="00000000">
      <w:pPr>
        <w:widowControl w:val="0"/>
        <w:numPr>
          <w:ilvl w:val="0"/>
          <w:numId w:val="55"/>
        </w:numPr>
        <w:spacing w:after="400"/>
        <w:jc w:val="left"/>
        <w:rPr>
          <w:color w:val="131A45"/>
        </w:rPr>
      </w:pPr>
      <w:r>
        <w:rPr>
          <w:color w:val="131A45"/>
        </w:rPr>
        <w:lastRenderedPageBreak/>
        <w:t>Personne ne devrait être infantilisé.</w:t>
      </w:r>
    </w:p>
    <w:p w14:paraId="4E1AFF89" w14:textId="77777777" w:rsidR="00BF02D1" w:rsidRDefault="00000000">
      <w:pPr>
        <w:widowControl w:val="0"/>
        <w:numPr>
          <w:ilvl w:val="0"/>
          <w:numId w:val="55"/>
        </w:numPr>
        <w:spacing w:after="400"/>
        <w:jc w:val="left"/>
        <w:rPr>
          <w:color w:val="131A45"/>
        </w:rPr>
      </w:pPr>
      <w:r>
        <w:rPr>
          <w:color w:val="131A45"/>
        </w:rPr>
        <w:t xml:space="preserve">Tout le monde aime être diverti et vivre un moment d’art, sans que ce soit « sur un sujet qui concerne les personnes handicapées » (phrase que nous avons trop souvent entendue). Tous les thèmes et univers peuvent être explorés en accessibilité créative. </w:t>
      </w:r>
    </w:p>
    <w:p w14:paraId="4E1AFF8A" w14:textId="77777777" w:rsidR="00BF02D1" w:rsidRDefault="00000000">
      <w:pPr>
        <w:widowControl w:val="0"/>
        <w:numPr>
          <w:ilvl w:val="0"/>
          <w:numId w:val="55"/>
        </w:numPr>
        <w:spacing w:after="400"/>
        <w:jc w:val="left"/>
        <w:rPr>
          <w:color w:val="131A45"/>
        </w:rPr>
      </w:pPr>
      <w:r>
        <w:rPr>
          <w:color w:val="131A45"/>
        </w:rPr>
        <w:t>Les moments d’inconfort et les erreurs sont inévitables; cela ne devrait pas nous arrêter.</w:t>
      </w:r>
    </w:p>
    <w:p w14:paraId="4E1AFF8B" w14:textId="77777777" w:rsidR="00BF02D1" w:rsidRDefault="00000000">
      <w:pPr>
        <w:widowControl w:val="0"/>
        <w:numPr>
          <w:ilvl w:val="0"/>
          <w:numId w:val="55"/>
        </w:numPr>
        <w:spacing w:after="400"/>
        <w:jc w:val="left"/>
        <w:rPr>
          <w:color w:val="131A45"/>
        </w:rPr>
      </w:pPr>
      <w:r>
        <w:rPr>
          <w:color w:val="131A45"/>
        </w:rPr>
        <w:t xml:space="preserve">Même si vous prenez en compte leurs besoins et malgré l’inclusion, certaines personnes concernées ne seront pas intéressées par le théâtre ou par l'œuvre proposée. C’est une question de goûts. </w:t>
      </w:r>
    </w:p>
    <w:p w14:paraId="4E1AFF8C" w14:textId="77777777" w:rsidR="00BF02D1" w:rsidRDefault="00000000">
      <w:pPr>
        <w:widowControl w:val="0"/>
        <w:numPr>
          <w:ilvl w:val="0"/>
          <w:numId w:val="55"/>
        </w:numPr>
        <w:spacing w:after="400"/>
        <w:jc w:val="left"/>
        <w:rPr>
          <w:color w:val="131A45"/>
        </w:rPr>
      </w:pPr>
      <w:r>
        <w:rPr>
          <w:color w:val="131A45"/>
        </w:rPr>
        <w:t>Il faut s’entraider et pratiquer le partage de savoirs, de ressources et de matériels. L’accessibilité est une action politique, et nous ne pouvons devenir plus forts qu’en rassemblant nos efforts.</w:t>
      </w:r>
    </w:p>
    <w:p w14:paraId="4E1AFF8D" w14:textId="77777777" w:rsidR="00BF02D1" w:rsidRDefault="00000000">
      <w:pPr>
        <w:widowControl w:val="0"/>
        <w:numPr>
          <w:ilvl w:val="0"/>
          <w:numId w:val="55"/>
        </w:numPr>
        <w:spacing w:after="400"/>
        <w:jc w:val="left"/>
        <w:rPr>
          <w:color w:val="131A45"/>
        </w:rPr>
      </w:pPr>
      <w:r>
        <w:rPr>
          <w:color w:val="131A45"/>
        </w:rPr>
        <w:t xml:space="preserve">Ne pas oublier de s’amuser et de voir </w:t>
      </w:r>
      <w:proofErr w:type="gramStart"/>
      <w:r>
        <w:rPr>
          <w:color w:val="131A45"/>
        </w:rPr>
        <w:t>les possibles contraintes</w:t>
      </w:r>
      <w:proofErr w:type="gramEnd"/>
      <w:r>
        <w:rPr>
          <w:color w:val="131A45"/>
        </w:rPr>
        <w:t xml:space="preserve"> comme des tremplins créatifs qui ouvrent des portes plutôt que d’en fermer. Les moyens d’y arriver ne manquent pas, mais plus on trouve du plaisir à sortir des sentiers battus, plus l’accessibilité créative trouve son chemin. </w:t>
      </w:r>
    </w:p>
    <w:p w14:paraId="4E1AFF8E" w14:textId="1CC8A649" w:rsidR="00BF02D1" w:rsidRDefault="00C23744">
      <w:pPr>
        <w:pStyle w:val="Titre2"/>
        <w:ind w:right="360"/>
      </w:pPr>
      <w:bookmarkStart w:id="21" w:name="_heading=h.1y810tw" w:colFirst="0" w:colLast="0"/>
      <w:bookmarkEnd w:id="21"/>
      <w:r>
        <w:rPr>
          <w:noProof/>
        </w:rPr>
        <w:lastRenderedPageBreak/>
        <w:drawing>
          <wp:anchor distT="0" distB="0" distL="0" distR="0" simplePos="0" relativeHeight="251682816" behindDoc="1" locked="0" layoutInCell="1" hidden="0" allowOverlap="1" wp14:anchorId="4E1B012B" wp14:editId="57FA9911">
            <wp:simplePos x="0" y="0"/>
            <wp:positionH relativeFrom="page">
              <wp:posOffset>2876550</wp:posOffset>
            </wp:positionH>
            <wp:positionV relativeFrom="page">
              <wp:posOffset>695162</wp:posOffset>
            </wp:positionV>
            <wp:extent cx="4492625" cy="600075"/>
            <wp:effectExtent l="0" t="0" r="3175" b="0"/>
            <wp:wrapNone/>
            <wp:docPr id="130602836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492625" cy="600075"/>
                    </a:xfrm>
                    <a:prstGeom prst="rect">
                      <a:avLst/>
                    </a:prstGeom>
                    <a:ln/>
                  </pic:spPr>
                </pic:pic>
              </a:graphicData>
            </a:graphic>
          </wp:anchor>
        </w:drawing>
      </w:r>
      <w:r>
        <w:rPr>
          <w:noProof/>
        </w:rPr>
        <w:drawing>
          <wp:anchor distT="0" distB="0" distL="0" distR="0" simplePos="0" relativeHeight="251681792" behindDoc="1" locked="0" layoutInCell="1" hidden="0" allowOverlap="1" wp14:anchorId="4E1B0129" wp14:editId="589FF178">
            <wp:simplePos x="0" y="0"/>
            <wp:positionH relativeFrom="page">
              <wp:posOffset>3876675</wp:posOffset>
            </wp:positionH>
            <wp:positionV relativeFrom="page">
              <wp:posOffset>695162</wp:posOffset>
            </wp:positionV>
            <wp:extent cx="4492625" cy="600075"/>
            <wp:effectExtent l="0" t="0" r="3175" b="0"/>
            <wp:wrapNone/>
            <wp:docPr id="130602839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492625" cy="600075"/>
                    </a:xfrm>
                    <a:prstGeom prst="rect">
                      <a:avLst/>
                    </a:prstGeom>
                    <a:ln/>
                  </pic:spPr>
                </pic:pic>
              </a:graphicData>
            </a:graphic>
          </wp:anchor>
        </w:drawing>
      </w:r>
      <w:r>
        <w:t>Étapes de l’accessibilité créative</w:t>
      </w:r>
    </w:p>
    <w:p w14:paraId="4E1AFF8F" w14:textId="77777777" w:rsidR="00BF02D1" w:rsidRDefault="00000000">
      <w:pPr>
        <w:widowControl w:val="0"/>
        <w:jc w:val="left"/>
        <w:rPr>
          <w:color w:val="131A45"/>
        </w:rPr>
      </w:pPr>
      <w:r>
        <w:rPr>
          <w:color w:val="131A45"/>
        </w:rPr>
        <w:t xml:space="preserve">Maintenant que nous avons exploré le concept de l’accessibilité créative, voyons comment l’intégrer aux processus de création. </w:t>
      </w:r>
    </w:p>
    <w:p w14:paraId="4E1AFF90" w14:textId="77777777" w:rsidR="00BF02D1" w:rsidRDefault="00000000">
      <w:pPr>
        <w:widowControl w:val="0"/>
        <w:spacing w:before="400"/>
        <w:jc w:val="left"/>
        <w:rPr>
          <w:color w:val="131A45"/>
        </w:rPr>
      </w:pPr>
      <w:r>
        <w:rPr>
          <w:color w:val="131A45"/>
        </w:rPr>
        <w:t>Comme dans tout mouvement créatif, l’imaginaire doit garder sa place afin d’inventer de nouvelles manières d’écrire l’accessibilité sur nos scènes. Nous avons tout de même rassemblé une liste d'étapes pour vous aider à vous lancer dans un tel chantier créatif.</w:t>
      </w:r>
    </w:p>
    <w:p w14:paraId="4E1AFF91" w14:textId="77777777" w:rsidR="00BF02D1" w:rsidRDefault="00000000">
      <w:pPr>
        <w:widowControl w:val="0"/>
        <w:spacing w:before="400"/>
        <w:jc w:val="left"/>
        <w:rPr>
          <w:b/>
          <w:color w:val="131A45"/>
        </w:rPr>
      </w:pPr>
      <w:r>
        <w:rPr>
          <w:color w:val="131A45"/>
        </w:rPr>
        <w:t xml:space="preserve">Ces étapes n’incluent pas les tâches habituelles d’une production artistique, mais se focalisent sur les ajouts à intégrer à son processus pour penser adéquatement l’accessibilité créative. </w:t>
      </w:r>
    </w:p>
    <w:p w14:paraId="4E1AFF92" w14:textId="77777777" w:rsidR="00BF02D1" w:rsidRDefault="00000000">
      <w:pPr>
        <w:widowControl w:val="0"/>
        <w:spacing w:before="600"/>
        <w:jc w:val="left"/>
        <w:rPr>
          <w:color w:val="131A45"/>
        </w:rPr>
      </w:pPr>
      <w:r>
        <w:rPr>
          <w:rFonts w:ascii="Lexend SemiBold" w:eastAsia="Lexend SemiBold" w:hAnsi="Lexend SemiBold" w:cs="Lexend SemiBold"/>
          <w:color w:val="131A45"/>
        </w:rPr>
        <w:t>ÉTAPE 1</w:t>
      </w:r>
      <w:r>
        <w:rPr>
          <w:color w:val="131A45"/>
        </w:rPr>
        <w:t xml:space="preserve"> : Choisir les besoins d’accessibilité ciblés par notre spectacle. Nous l’avons déjà mentionné : il est difficile, voire impossible, de promettre une accessibilité pour tous les besoins en même temps.</w:t>
      </w:r>
    </w:p>
    <w:p w14:paraId="4E1AFF93" w14:textId="77777777" w:rsidR="00BF02D1" w:rsidRDefault="00000000">
      <w:pPr>
        <w:widowControl w:val="0"/>
        <w:numPr>
          <w:ilvl w:val="0"/>
          <w:numId w:val="21"/>
        </w:numPr>
        <w:spacing w:after="200"/>
        <w:jc w:val="left"/>
        <w:rPr>
          <w:color w:val="131A45"/>
        </w:rPr>
      </w:pPr>
      <w:r>
        <w:rPr>
          <w:color w:val="131A45"/>
        </w:rPr>
        <w:t xml:space="preserve">Spécifier à quels besoins la représentation est plus spécifiquement dédiée permet de faire de meilleurs choix. Ces paramètres permettront aussi d’utiliser plus facilement les mesures d’accessibilité comme des balises créatives. </w:t>
      </w:r>
    </w:p>
    <w:p w14:paraId="4E1AFF94" w14:textId="77777777" w:rsidR="00BF02D1" w:rsidRDefault="00000000">
      <w:pPr>
        <w:widowControl w:val="0"/>
        <w:numPr>
          <w:ilvl w:val="0"/>
          <w:numId w:val="21"/>
        </w:numPr>
        <w:spacing w:after="200"/>
        <w:jc w:val="left"/>
        <w:rPr>
          <w:color w:val="131A45"/>
        </w:rPr>
      </w:pPr>
      <w:r>
        <w:rPr>
          <w:color w:val="131A45"/>
        </w:rPr>
        <w:t xml:space="preserve">Il est parfois difficile de trancher, car on ne veut évidemment laisser personne de côté. Mais à essayer de faire tout en même temps, on finit habituellement par rester en surface ou échouer à remplir toutes nos promesses. </w:t>
      </w:r>
    </w:p>
    <w:p w14:paraId="4E1AFF95" w14:textId="77777777" w:rsidR="00BF02D1" w:rsidRDefault="00000000">
      <w:pPr>
        <w:widowControl w:val="0"/>
        <w:numPr>
          <w:ilvl w:val="0"/>
          <w:numId w:val="21"/>
        </w:numPr>
        <w:spacing w:after="200"/>
        <w:jc w:val="left"/>
        <w:rPr>
          <w:color w:val="131A45"/>
        </w:rPr>
      </w:pPr>
      <w:r>
        <w:rPr>
          <w:color w:val="131A45"/>
        </w:rPr>
        <w:t>Dans la poursuite de « pour et par », demandez-vous quels sont les besoins les plus souvent identifiés par vos spectatrices et spectateurs, ou lesquels peuvent bien s’insérer dans votre travail avec les explorations artistiques que vous souhaitez approfondir avec cette production. C’est une bonne piste de départ.</w:t>
      </w:r>
    </w:p>
    <w:p w14:paraId="4E1AFF96" w14:textId="77777777" w:rsidR="00BF02D1" w:rsidRDefault="00000000">
      <w:pPr>
        <w:widowControl w:val="0"/>
        <w:spacing w:before="1200" w:after="200"/>
        <w:jc w:val="left"/>
        <w:rPr>
          <w:color w:val="131A45"/>
        </w:rPr>
      </w:pPr>
      <w:r>
        <w:rPr>
          <w:rFonts w:ascii="Lexend SemiBold" w:eastAsia="Lexend SemiBold" w:hAnsi="Lexend SemiBold" w:cs="Lexend SemiBold"/>
          <w:color w:val="131A45"/>
        </w:rPr>
        <w:lastRenderedPageBreak/>
        <w:t>ÉTAPE 2</w:t>
      </w:r>
      <w:r>
        <w:rPr>
          <w:color w:val="131A45"/>
        </w:rPr>
        <w:t xml:space="preserve"> : S’assurer de pouvoir répondre en amont à ces questions pour un processus accessible et éthique. </w:t>
      </w:r>
    </w:p>
    <w:p w14:paraId="4E1AFF97" w14:textId="77777777" w:rsidR="00BF02D1" w:rsidRDefault="00000000">
      <w:pPr>
        <w:widowControl w:val="0"/>
        <w:numPr>
          <w:ilvl w:val="0"/>
          <w:numId w:val="68"/>
        </w:numPr>
        <w:spacing w:after="200"/>
        <w:jc w:val="left"/>
        <w:rPr>
          <w:color w:val="131A45"/>
        </w:rPr>
      </w:pPr>
      <w:r>
        <w:rPr>
          <w:color w:val="131A45"/>
        </w:rPr>
        <w:t xml:space="preserve">Quels sont nos objectifs en tant qu’organisme ou qu’artiste pour ce projet ? S’arriment-ils avec les besoins d’accessibilité visés ? </w:t>
      </w:r>
    </w:p>
    <w:p w14:paraId="4E1AFF98" w14:textId="77777777" w:rsidR="00BF02D1" w:rsidRDefault="00000000">
      <w:pPr>
        <w:numPr>
          <w:ilvl w:val="0"/>
          <w:numId w:val="68"/>
        </w:numPr>
        <w:rPr>
          <w:color w:val="131A45"/>
        </w:rPr>
      </w:pPr>
      <w:r>
        <w:rPr>
          <w:color w:val="131A45"/>
        </w:rPr>
        <w:t>Qui va-t-on consulter ? Comment ces personnes vont-elles participer au projet ?</w:t>
      </w:r>
    </w:p>
    <w:p w14:paraId="4E1AFF99" w14:textId="77777777" w:rsidR="00BF02D1" w:rsidRDefault="00000000">
      <w:pPr>
        <w:widowControl w:val="0"/>
        <w:numPr>
          <w:ilvl w:val="0"/>
          <w:numId w:val="68"/>
        </w:numPr>
        <w:spacing w:after="200"/>
        <w:jc w:val="left"/>
        <w:rPr>
          <w:color w:val="131A45"/>
        </w:rPr>
      </w:pPr>
      <w:r>
        <w:rPr>
          <w:color w:val="131A45"/>
        </w:rPr>
        <w:t>Est-ce qu’on a établi un système qui incite les personnes consultées à participer au projet, sans qu’elles se sentent utilisées ?</w:t>
      </w:r>
    </w:p>
    <w:p w14:paraId="4E1AFF9A" w14:textId="77777777" w:rsidR="00BF02D1" w:rsidRDefault="00000000">
      <w:pPr>
        <w:widowControl w:val="0"/>
        <w:numPr>
          <w:ilvl w:val="0"/>
          <w:numId w:val="68"/>
        </w:numPr>
        <w:spacing w:before="0" w:after="200"/>
        <w:rPr>
          <w:color w:val="131A45"/>
        </w:rPr>
      </w:pPr>
      <w:r>
        <w:rPr>
          <w:color w:val="131A45"/>
        </w:rPr>
        <w:t>Quel sera l’impact concret de l’avis des personnes consultées sur le projet ? Est-ce qu’on utilise leurs conseils pour réellement améliorer ce projet, ou simplement pour les apparences ?</w:t>
      </w:r>
    </w:p>
    <w:p w14:paraId="4E1AFF9B" w14:textId="77777777" w:rsidR="00BF02D1" w:rsidRDefault="00000000">
      <w:pPr>
        <w:widowControl w:val="0"/>
        <w:numPr>
          <w:ilvl w:val="0"/>
          <w:numId w:val="68"/>
        </w:numPr>
        <w:spacing w:before="0" w:after="200"/>
        <w:jc w:val="left"/>
        <w:rPr>
          <w:color w:val="131A45"/>
        </w:rPr>
      </w:pPr>
      <w:r>
        <w:rPr>
          <w:color w:val="131A45"/>
        </w:rPr>
        <w:t xml:space="preserve">A-t-on alloué assez de temps pour approcher toutes les personnes et les groupes concernés, en considérant les enjeux d'accessibilité ? </w:t>
      </w:r>
    </w:p>
    <w:p w14:paraId="4E1AFF9C" w14:textId="77777777" w:rsidR="00BF02D1" w:rsidRDefault="00000000">
      <w:pPr>
        <w:widowControl w:val="0"/>
        <w:numPr>
          <w:ilvl w:val="0"/>
          <w:numId w:val="68"/>
        </w:numPr>
        <w:spacing w:before="0" w:after="200"/>
        <w:jc w:val="left"/>
        <w:rPr>
          <w:color w:val="131A45"/>
        </w:rPr>
      </w:pPr>
      <w:r>
        <w:rPr>
          <w:color w:val="131A45"/>
        </w:rPr>
        <w:t>A-t-on le budget pour rémunérer correctement les personnes que l’on consulte ?</w:t>
      </w:r>
    </w:p>
    <w:p w14:paraId="4E1AFF9D" w14:textId="77777777" w:rsidR="00BF02D1" w:rsidRDefault="00000000">
      <w:pPr>
        <w:widowControl w:val="0"/>
        <w:numPr>
          <w:ilvl w:val="0"/>
          <w:numId w:val="68"/>
        </w:numPr>
        <w:spacing w:before="0" w:after="200"/>
        <w:jc w:val="left"/>
        <w:rPr>
          <w:color w:val="131A45"/>
        </w:rPr>
      </w:pPr>
      <w:r>
        <w:rPr>
          <w:color w:val="131A45"/>
        </w:rPr>
        <w:t>A-t-on les ressources humaines nécessaires pour ce projet ? (Il faut souvent de nombreuses personnes pour mener à bien ce genre de projet.)</w:t>
      </w:r>
    </w:p>
    <w:p w14:paraId="4E1AFF9E" w14:textId="77777777" w:rsidR="00BF02D1" w:rsidRDefault="00000000">
      <w:pPr>
        <w:widowControl w:val="0"/>
        <w:numPr>
          <w:ilvl w:val="0"/>
          <w:numId w:val="68"/>
        </w:numPr>
        <w:spacing w:after="200"/>
        <w:jc w:val="left"/>
        <w:rPr>
          <w:color w:val="131A45"/>
        </w:rPr>
      </w:pPr>
      <w:r>
        <w:rPr>
          <w:color w:val="131A45"/>
        </w:rPr>
        <w:t>Comment s’assure-t-on que les collaborations développées soient durables ?</w:t>
      </w:r>
    </w:p>
    <w:p w14:paraId="4E1AFF9F" w14:textId="77777777" w:rsidR="00BF02D1" w:rsidRDefault="00000000">
      <w:pPr>
        <w:widowControl w:val="0"/>
        <w:spacing w:before="600" w:after="200"/>
        <w:jc w:val="left"/>
        <w:rPr>
          <w:color w:val="131A45"/>
        </w:rPr>
      </w:pPr>
      <w:r>
        <w:rPr>
          <w:rFonts w:ascii="Lexend SemiBold" w:eastAsia="Lexend SemiBold" w:hAnsi="Lexend SemiBold" w:cs="Lexend SemiBold"/>
          <w:color w:val="131A45"/>
        </w:rPr>
        <w:t>ÉTAPE 3</w:t>
      </w:r>
      <w:r>
        <w:rPr>
          <w:color w:val="131A45"/>
        </w:rPr>
        <w:t xml:space="preserve"> : S’informer et s’éduquer sur les besoins ciblés et sur les communautés les plus concernées par ces besoins. C’est la base de tout processus. </w:t>
      </w:r>
    </w:p>
    <w:p w14:paraId="4E1AFFA0" w14:textId="77777777" w:rsidR="00BF02D1" w:rsidRDefault="00000000">
      <w:pPr>
        <w:widowControl w:val="0"/>
        <w:numPr>
          <w:ilvl w:val="0"/>
          <w:numId w:val="44"/>
        </w:numPr>
        <w:spacing w:after="200"/>
        <w:jc w:val="left"/>
        <w:rPr>
          <w:color w:val="131A45"/>
        </w:rPr>
      </w:pPr>
      <w:r>
        <w:rPr>
          <w:color w:val="131A45"/>
        </w:rPr>
        <w:t xml:space="preserve">Trouvez des personnes-ressources, lisez sur le sujet et impliquez des gens concernés par ce dernier directement dans vos processus. </w:t>
      </w:r>
    </w:p>
    <w:p w14:paraId="4E1AFFA1" w14:textId="77777777" w:rsidR="00BF02D1" w:rsidRDefault="00000000">
      <w:pPr>
        <w:widowControl w:val="0"/>
        <w:numPr>
          <w:ilvl w:val="0"/>
          <w:numId w:val="44"/>
        </w:numPr>
        <w:spacing w:before="0" w:after="200"/>
        <w:jc w:val="left"/>
        <w:rPr>
          <w:color w:val="131A45"/>
        </w:rPr>
      </w:pPr>
      <w:r>
        <w:rPr>
          <w:color w:val="131A45"/>
        </w:rPr>
        <w:t>N’hésitez pas à initier des partenariats avec des organismes spécialisés, à approcher les chaires de recherches universitaires et à consulter de la littérature scientifique.</w:t>
      </w:r>
    </w:p>
    <w:p w14:paraId="4E1AFFA2" w14:textId="77777777" w:rsidR="00BF02D1" w:rsidRDefault="00000000">
      <w:pPr>
        <w:widowControl w:val="0"/>
        <w:numPr>
          <w:ilvl w:val="0"/>
          <w:numId w:val="44"/>
        </w:numPr>
        <w:spacing w:after="200"/>
        <w:jc w:val="left"/>
        <w:rPr>
          <w:color w:val="131A45"/>
        </w:rPr>
      </w:pPr>
      <w:r>
        <w:rPr>
          <w:color w:val="131A45"/>
        </w:rPr>
        <w:t>Revenez à cette étape tout au long du processus, autant de fois que nécessaire.</w:t>
      </w:r>
    </w:p>
    <w:p w14:paraId="4E1AFFA3" w14:textId="77777777" w:rsidR="00BF02D1" w:rsidRDefault="00000000">
      <w:pPr>
        <w:widowControl w:val="0"/>
        <w:spacing w:before="600"/>
        <w:jc w:val="left"/>
        <w:rPr>
          <w:color w:val="131A45"/>
        </w:rPr>
      </w:pPr>
      <w:r>
        <w:rPr>
          <w:rFonts w:ascii="Lexend SemiBold" w:eastAsia="Lexend SemiBold" w:hAnsi="Lexend SemiBold" w:cs="Lexend SemiBold"/>
          <w:color w:val="131A45"/>
        </w:rPr>
        <w:lastRenderedPageBreak/>
        <w:t>ÉTAPE 4</w:t>
      </w:r>
      <w:r>
        <w:rPr>
          <w:b/>
          <w:color w:val="131A45"/>
        </w:rPr>
        <w:t xml:space="preserve"> </w:t>
      </w:r>
      <w:r>
        <w:rPr>
          <w:color w:val="131A45"/>
        </w:rPr>
        <w:t xml:space="preserve">: Intégrer dès que possible les conceptrices et concepteurs dans le processus. </w:t>
      </w:r>
    </w:p>
    <w:p w14:paraId="4E1AFFA4" w14:textId="77777777" w:rsidR="00BF02D1" w:rsidRDefault="00000000">
      <w:pPr>
        <w:widowControl w:val="0"/>
        <w:numPr>
          <w:ilvl w:val="0"/>
          <w:numId w:val="26"/>
        </w:numPr>
        <w:spacing w:after="200"/>
        <w:jc w:val="left"/>
        <w:rPr>
          <w:color w:val="131A45"/>
        </w:rPr>
      </w:pPr>
      <w:r>
        <w:rPr>
          <w:color w:val="131A45"/>
        </w:rPr>
        <w:t xml:space="preserve">L’accessibilité créative doit être pensée à travers tous les aspects de la création, c’est-à-dire l’éclairage, le son, les décors, les costumes et tous les autres éléments scéniques. </w:t>
      </w:r>
    </w:p>
    <w:p w14:paraId="4E1AFFA5" w14:textId="77777777" w:rsidR="00BF02D1" w:rsidRDefault="00000000">
      <w:pPr>
        <w:widowControl w:val="0"/>
        <w:numPr>
          <w:ilvl w:val="0"/>
          <w:numId w:val="26"/>
        </w:numPr>
        <w:spacing w:before="0" w:after="200"/>
        <w:jc w:val="left"/>
        <w:rPr>
          <w:color w:val="131A45"/>
        </w:rPr>
      </w:pPr>
      <w:r>
        <w:rPr>
          <w:color w:val="131A45"/>
        </w:rPr>
        <w:t>Cherchant à construire des projets communs, il est pertinent de faire participer le plus rapidement possible les équipes de conception. Cela permet aussi de donner le temps nécessaire pour trouver des solutions créatives, réalistes et esthétiques.</w:t>
      </w:r>
    </w:p>
    <w:p w14:paraId="4E1AFFA6" w14:textId="77777777" w:rsidR="00BF02D1" w:rsidRDefault="00000000">
      <w:pPr>
        <w:widowControl w:val="0"/>
        <w:numPr>
          <w:ilvl w:val="0"/>
          <w:numId w:val="26"/>
        </w:numPr>
        <w:spacing w:after="200"/>
        <w:jc w:val="left"/>
        <w:rPr>
          <w:color w:val="131A45"/>
        </w:rPr>
      </w:pPr>
      <w:r>
        <w:rPr>
          <w:color w:val="131A45"/>
        </w:rPr>
        <w:t xml:space="preserve">C’est aussi le moment de réfléchir à de nouvelles collaborations. Pensez hors de votre cercle habituel. Ouvrez aussi la collaboration à des gens hors des domaines des arts vivants afin de réfléchir autrement certaines technologies, par exemple. C’est le moment d’élargir ses rencontres, diversifier les équipes et d’explorer les diverses expertises. </w:t>
      </w:r>
    </w:p>
    <w:p w14:paraId="4E1AFFA7" w14:textId="77777777" w:rsidR="00BF02D1" w:rsidRDefault="00000000">
      <w:pPr>
        <w:widowControl w:val="0"/>
        <w:spacing w:before="600"/>
        <w:jc w:val="left"/>
        <w:rPr>
          <w:color w:val="131A45"/>
        </w:rPr>
      </w:pPr>
      <w:r>
        <w:rPr>
          <w:rFonts w:ascii="Lexend SemiBold" w:eastAsia="Lexend SemiBold" w:hAnsi="Lexend SemiBold" w:cs="Lexend SemiBold"/>
          <w:color w:val="131A45"/>
        </w:rPr>
        <w:t>ÉTAPE 5</w:t>
      </w:r>
      <w:r>
        <w:rPr>
          <w:b/>
          <w:color w:val="131A45"/>
        </w:rPr>
        <w:t xml:space="preserve"> </w:t>
      </w:r>
      <w:r>
        <w:rPr>
          <w:color w:val="131A45"/>
        </w:rPr>
        <w:t xml:space="preserve">: Former et informer votre équipe sur les enjeux d’accessibilité. </w:t>
      </w:r>
    </w:p>
    <w:p w14:paraId="4E1AFFA8" w14:textId="77777777" w:rsidR="00BF02D1" w:rsidRDefault="00000000">
      <w:pPr>
        <w:widowControl w:val="0"/>
        <w:numPr>
          <w:ilvl w:val="0"/>
          <w:numId w:val="22"/>
        </w:numPr>
        <w:spacing w:after="200"/>
        <w:jc w:val="left"/>
        <w:rPr>
          <w:color w:val="131A45"/>
        </w:rPr>
      </w:pPr>
      <w:r>
        <w:rPr>
          <w:color w:val="131A45"/>
        </w:rPr>
        <w:t xml:space="preserve">Il est important que toute personne participant au projet ait une compréhension de base de l’accessibilité, ainsi que des enjeux spécifiques d’accès reliés au projet, afin de pouvoir pleinement participer aux réflexions. </w:t>
      </w:r>
    </w:p>
    <w:p w14:paraId="4E1AFFA9" w14:textId="77777777" w:rsidR="00BF02D1" w:rsidRDefault="00000000">
      <w:pPr>
        <w:widowControl w:val="0"/>
        <w:numPr>
          <w:ilvl w:val="0"/>
          <w:numId w:val="22"/>
        </w:numPr>
        <w:spacing w:before="0" w:after="200"/>
        <w:jc w:val="left"/>
        <w:rPr>
          <w:color w:val="131A45"/>
        </w:rPr>
      </w:pPr>
      <w:r>
        <w:rPr>
          <w:color w:val="131A45"/>
        </w:rPr>
        <w:t>Il ne s’agit pas de transférer les responsabilités de l’accessibilité, mais plutôt d’instaurer un langage commun lors de la création, de permettre la compréhension des choix, de bien délimiter le terrain de jeu créatif et de canaliser les efforts dans le même sens.</w:t>
      </w:r>
    </w:p>
    <w:p w14:paraId="4E1AFFAA" w14:textId="77777777" w:rsidR="00BF02D1" w:rsidRDefault="00000000">
      <w:pPr>
        <w:widowControl w:val="0"/>
        <w:numPr>
          <w:ilvl w:val="0"/>
          <w:numId w:val="22"/>
        </w:numPr>
        <w:spacing w:after="200"/>
        <w:jc w:val="left"/>
        <w:rPr>
          <w:color w:val="131A45"/>
        </w:rPr>
      </w:pPr>
      <w:r>
        <w:rPr>
          <w:color w:val="131A45"/>
        </w:rPr>
        <w:t>C’est aussi une occasion de participer à la sensibilisation pour une société toujours plus inclusive.</w:t>
      </w:r>
    </w:p>
    <w:p w14:paraId="4E1AFFAB" w14:textId="77777777" w:rsidR="00BF02D1" w:rsidRDefault="00000000">
      <w:pPr>
        <w:widowControl w:val="0"/>
        <w:spacing w:before="600"/>
        <w:jc w:val="left"/>
        <w:rPr>
          <w:color w:val="131A45"/>
        </w:rPr>
      </w:pPr>
      <w:r>
        <w:rPr>
          <w:rFonts w:ascii="Lexend SemiBold" w:eastAsia="Lexend SemiBold" w:hAnsi="Lexend SemiBold" w:cs="Lexend SemiBold"/>
          <w:color w:val="131A45"/>
        </w:rPr>
        <w:t>ÉTAPE 6</w:t>
      </w:r>
      <w:r>
        <w:rPr>
          <w:b/>
          <w:color w:val="131A45"/>
        </w:rPr>
        <w:t xml:space="preserve"> </w:t>
      </w:r>
      <w:r>
        <w:rPr>
          <w:color w:val="131A45"/>
        </w:rPr>
        <w:t>: Explorer les solutions d’accessibilité existantes pour les besoins ciblés.</w:t>
      </w:r>
    </w:p>
    <w:p w14:paraId="4E1AFFAC" w14:textId="77777777" w:rsidR="00BF02D1" w:rsidRDefault="00000000">
      <w:pPr>
        <w:widowControl w:val="0"/>
        <w:numPr>
          <w:ilvl w:val="0"/>
          <w:numId w:val="37"/>
        </w:numPr>
        <w:spacing w:after="200"/>
        <w:jc w:val="left"/>
        <w:rPr>
          <w:color w:val="131A45"/>
        </w:rPr>
      </w:pPr>
      <w:r>
        <w:rPr>
          <w:color w:val="131A45"/>
        </w:rPr>
        <w:t xml:space="preserve">Il est pertinent de débuter le processus créatif en explorant les solutions d’accessibilité existantes et les façons dont elles ont été historiquement utilisées en culture. La roue n’a pas à être réinventée constamment; parfois, des solutions </w:t>
      </w:r>
      <w:r>
        <w:rPr>
          <w:color w:val="131A45"/>
        </w:rPr>
        <w:lastRenderedPageBreak/>
        <w:t xml:space="preserve">existantes peuvent devenir des moteurs créatifs. </w:t>
      </w:r>
    </w:p>
    <w:p w14:paraId="4E1AFFAD" w14:textId="77777777" w:rsidR="00BF02D1" w:rsidRDefault="00000000">
      <w:pPr>
        <w:widowControl w:val="0"/>
        <w:numPr>
          <w:ilvl w:val="0"/>
          <w:numId w:val="37"/>
        </w:numPr>
        <w:spacing w:before="0" w:after="200"/>
        <w:jc w:val="left"/>
        <w:rPr>
          <w:color w:val="131A45"/>
        </w:rPr>
      </w:pPr>
      <w:r>
        <w:rPr>
          <w:color w:val="131A45"/>
        </w:rPr>
        <w:t xml:space="preserve">Pour sortir des cadres préétablis et se permettre de remettre en question et d’esthétiser les conventions, on doit premièrement connaître ce qui est ou a déjà été utilisé. </w:t>
      </w:r>
    </w:p>
    <w:p w14:paraId="4E1AFFAE" w14:textId="77777777" w:rsidR="00BF02D1" w:rsidRDefault="00000000">
      <w:pPr>
        <w:widowControl w:val="0"/>
        <w:spacing w:before="600"/>
        <w:jc w:val="left"/>
        <w:rPr>
          <w:color w:val="131A45"/>
        </w:rPr>
      </w:pPr>
      <w:r>
        <w:rPr>
          <w:rFonts w:ascii="Lexend SemiBold" w:eastAsia="Lexend SemiBold" w:hAnsi="Lexend SemiBold" w:cs="Lexend SemiBold"/>
          <w:color w:val="131A45"/>
        </w:rPr>
        <w:t>ÉTAPE 7</w:t>
      </w:r>
      <w:r>
        <w:rPr>
          <w:color w:val="131A45"/>
        </w:rPr>
        <w:t xml:space="preserve"> : Remettre en question les standards traditionnels des arts vivants du point de vue de l’accessibilité.</w:t>
      </w:r>
    </w:p>
    <w:p w14:paraId="4E1AFFAF" w14:textId="77777777" w:rsidR="00BF02D1" w:rsidRDefault="00000000">
      <w:pPr>
        <w:widowControl w:val="0"/>
        <w:numPr>
          <w:ilvl w:val="0"/>
          <w:numId w:val="77"/>
        </w:numPr>
        <w:spacing w:after="200"/>
        <w:jc w:val="left"/>
        <w:rPr>
          <w:color w:val="131A45"/>
        </w:rPr>
      </w:pPr>
      <w:r>
        <w:rPr>
          <w:color w:val="131A45"/>
        </w:rPr>
        <w:t xml:space="preserve">Plusieurs des standards et traditions du milieu culturel ont été établis il y a fort longtemps, avec peu de réflexion sur l’accessibilité, comme la noirceur dans les salles durant les représentations par exemple. </w:t>
      </w:r>
    </w:p>
    <w:p w14:paraId="4E1AFFB0" w14:textId="77777777" w:rsidR="00BF02D1" w:rsidRDefault="00000000">
      <w:pPr>
        <w:widowControl w:val="0"/>
        <w:numPr>
          <w:ilvl w:val="0"/>
          <w:numId w:val="77"/>
        </w:numPr>
        <w:spacing w:after="200"/>
        <w:jc w:val="left"/>
        <w:rPr>
          <w:color w:val="131A45"/>
        </w:rPr>
      </w:pPr>
      <w:r>
        <w:rPr>
          <w:color w:val="131A45"/>
        </w:rPr>
        <w:t xml:space="preserve">Chaque conceptrice ou concepteur peut revisiter les normes admises dans son domaine et questionner leur pertinence face aux avantages d’un changement accessible. </w:t>
      </w:r>
    </w:p>
    <w:p w14:paraId="4E1AFFB1" w14:textId="77777777" w:rsidR="00BF02D1" w:rsidRDefault="00000000">
      <w:pPr>
        <w:widowControl w:val="0"/>
        <w:numPr>
          <w:ilvl w:val="0"/>
          <w:numId w:val="77"/>
        </w:numPr>
        <w:spacing w:after="200"/>
        <w:jc w:val="left"/>
        <w:rPr>
          <w:color w:val="131A45"/>
        </w:rPr>
      </w:pPr>
      <w:r>
        <w:rPr>
          <w:color w:val="131A45"/>
        </w:rPr>
        <w:t>C’est le moment de créer, de s’amuser et d’inventer, maintenant que les bases sont claires. Pensez à l'accessibilité comme un moteur créatif plutôt que comme une contrainte qui bloque la créativité. C’est le moment de réfléchir chaque conception à partir de l’accessibilité créative.</w:t>
      </w:r>
    </w:p>
    <w:p w14:paraId="4E1AFFB2" w14:textId="77777777" w:rsidR="00BF02D1" w:rsidRDefault="00000000">
      <w:pPr>
        <w:widowControl w:val="0"/>
        <w:spacing w:before="600"/>
        <w:jc w:val="left"/>
        <w:rPr>
          <w:color w:val="131A45"/>
        </w:rPr>
      </w:pPr>
      <w:r>
        <w:rPr>
          <w:rFonts w:ascii="Lexend SemiBold" w:eastAsia="Lexend SemiBold" w:hAnsi="Lexend SemiBold" w:cs="Lexend SemiBold"/>
          <w:color w:val="131A45"/>
        </w:rPr>
        <w:t>ÉTAPE 8</w:t>
      </w:r>
      <w:r>
        <w:rPr>
          <w:color w:val="131A45"/>
        </w:rPr>
        <w:t xml:space="preserve"> : S’assurer de l’accès à l’espace de diffusion, en lien avec les besoins d’accessibilité ciblés. </w:t>
      </w:r>
    </w:p>
    <w:p w14:paraId="4E1AFFB3" w14:textId="77777777" w:rsidR="00BF02D1" w:rsidRDefault="00000000">
      <w:pPr>
        <w:widowControl w:val="0"/>
        <w:numPr>
          <w:ilvl w:val="0"/>
          <w:numId w:val="46"/>
        </w:numPr>
        <w:spacing w:after="200"/>
        <w:jc w:val="left"/>
        <w:rPr>
          <w:color w:val="131A45"/>
        </w:rPr>
      </w:pPr>
      <w:r>
        <w:rPr>
          <w:color w:val="131A45"/>
        </w:rPr>
        <w:t xml:space="preserve">Il est important de connaître en amont les réalités d’un lieu, pour ne pas devoir annuler votre offre d’accessibilité à la dernière minute. Par exemple, un lieu dans lequel on ne peut entrer qu’en montant des marches ne pourrait pas convenir à un spectacle accessible aux personnes en fauteuil roulant, même si tout le reste avait été adéquatement pensé pour cette accessibilité. </w:t>
      </w:r>
    </w:p>
    <w:p w14:paraId="4E1AFFB4" w14:textId="77777777" w:rsidR="00BF02D1" w:rsidRDefault="00000000">
      <w:pPr>
        <w:widowControl w:val="0"/>
        <w:numPr>
          <w:ilvl w:val="0"/>
          <w:numId w:val="46"/>
        </w:numPr>
        <w:spacing w:after="200"/>
        <w:jc w:val="left"/>
        <w:rPr>
          <w:color w:val="131A45"/>
        </w:rPr>
      </w:pPr>
      <w:r>
        <w:rPr>
          <w:color w:val="131A45"/>
        </w:rPr>
        <w:t xml:space="preserve">Dès que possible, discutez des possibilités avec le lieu de diffusion. Il ne faut pas sous-estimer l’ouverture et la place au dialogue possibles dans les relations avec les diffuseurs afin de trouver ensemble des solutions. Ces dialogues épaulent aussi des changements sur le long terme et une meilleure compréhension des </w:t>
      </w:r>
      <w:r>
        <w:rPr>
          <w:color w:val="131A45"/>
        </w:rPr>
        <w:lastRenderedPageBreak/>
        <w:t>enjeux d’accessibilité dans les lieux de diffusion.</w:t>
      </w:r>
    </w:p>
    <w:p w14:paraId="4E1AFFB5" w14:textId="77777777" w:rsidR="00BF02D1" w:rsidRDefault="00000000">
      <w:pPr>
        <w:widowControl w:val="0"/>
        <w:spacing w:before="600"/>
        <w:jc w:val="left"/>
        <w:rPr>
          <w:color w:val="131A45"/>
        </w:rPr>
      </w:pPr>
      <w:r>
        <w:rPr>
          <w:rFonts w:ascii="Lexend SemiBold" w:eastAsia="Lexend SemiBold" w:hAnsi="Lexend SemiBold" w:cs="Lexend SemiBold"/>
          <w:color w:val="131A45"/>
        </w:rPr>
        <w:t xml:space="preserve">ÉTAPE 9 </w:t>
      </w:r>
      <w:r>
        <w:rPr>
          <w:b/>
          <w:color w:val="131A45"/>
        </w:rPr>
        <w:t xml:space="preserve">: </w:t>
      </w:r>
      <w:r>
        <w:rPr>
          <w:color w:val="131A45"/>
        </w:rPr>
        <w:t>Concevoir une accessibilité indissociable de votre résultat final.</w:t>
      </w:r>
    </w:p>
    <w:p w14:paraId="4E1AFFB6" w14:textId="77777777" w:rsidR="00BF02D1" w:rsidRDefault="00000000">
      <w:pPr>
        <w:widowControl w:val="0"/>
        <w:numPr>
          <w:ilvl w:val="0"/>
          <w:numId w:val="58"/>
        </w:numPr>
        <w:spacing w:before="200" w:after="200"/>
        <w:jc w:val="left"/>
        <w:rPr>
          <w:color w:val="131A45"/>
        </w:rPr>
      </w:pPr>
      <w:r>
        <w:rPr>
          <w:color w:val="131A45"/>
        </w:rPr>
        <w:t xml:space="preserve">Le but reste que toutes les représentations de votre spectacle soient accessibles et non seulement quelques-unes d’entre elles. </w:t>
      </w:r>
    </w:p>
    <w:p w14:paraId="4E1AFFB7" w14:textId="77777777" w:rsidR="00BF02D1" w:rsidRDefault="00000000">
      <w:pPr>
        <w:widowControl w:val="0"/>
        <w:numPr>
          <w:ilvl w:val="0"/>
          <w:numId w:val="58"/>
        </w:numPr>
        <w:spacing w:before="200" w:after="200"/>
        <w:jc w:val="left"/>
        <w:rPr>
          <w:color w:val="131A45"/>
        </w:rPr>
      </w:pPr>
      <w:r>
        <w:rPr>
          <w:color w:val="131A45"/>
        </w:rPr>
        <w:t xml:space="preserve">Visez à créer une œuvre qui ne peut exister sans l’accessibilité qu’elle propose, ou dans laquelle l’accessibilité fait partie intégrante de l’écriture de l'œuvre; de telle sorte que demander de retirer l’accessibilité impliquerait un changement fondamental, transformerait l'œuvre au point de la ruiner. </w:t>
      </w:r>
    </w:p>
    <w:p w14:paraId="4E1AFFB8" w14:textId="77777777" w:rsidR="00BF02D1" w:rsidRDefault="00000000">
      <w:pPr>
        <w:widowControl w:val="0"/>
        <w:numPr>
          <w:ilvl w:val="0"/>
          <w:numId w:val="58"/>
        </w:numPr>
        <w:spacing w:before="200" w:after="200"/>
        <w:jc w:val="left"/>
        <w:rPr>
          <w:color w:val="131A45"/>
        </w:rPr>
      </w:pPr>
      <w:r>
        <w:rPr>
          <w:color w:val="131A45"/>
        </w:rPr>
        <w:t>À cette étape, vous devez prendre des décisions sur les choix dramaturgiques d’accessibilité que vous souhaitez développer et approfondir. Les possibilités sont multiples - pour vous inspirer, vous pouvez consulter la section</w:t>
      </w:r>
      <w:r>
        <w:rPr>
          <w:rFonts w:ascii="Lexend SemiBold" w:eastAsia="Lexend SemiBold" w:hAnsi="Lexend SemiBold" w:cs="Lexend SemiBold"/>
          <w:color w:val="131A45"/>
        </w:rPr>
        <w:t xml:space="preserve"> </w:t>
      </w:r>
      <w:r>
        <w:rPr>
          <w:i/>
          <w:color w:val="131A45"/>
          <w:u w:val="single"/>
        </w:rPr>
        <w:t>P</w:t>
      </w:r>
      <w:hyperlink w:anchor="_heading=h.4i7ojhp">
        <w:r w:rsidR="00BF02D1">
          <w:rPr>
            <w:i/>
            <w:color w:val="131A45"/>
            <w:u w:val="single"/>
          </w:rPr>
          <w:t>ossibilités dramaturgiques de l’accessibilité créative</w:t>
        </w:r>
      </w:hyperlink>
      <w:hyperlink w:anchor="_heading=h.4i7ojhp">
        <w:r w:rsidR="00BF02D1">
          <w:rPr>
            <w:color w:val="131A45"/>
          </w:rPr>
          <w:t>, à la page 32</w:t>
        </w:r>
      </w:hyperlink>
      <w:hyperlink w:anchor="_heading=h.4i7ojhp">
        <w:r w:rsidR="00BF02D1">
          <w:rPr>
            <w:i/>
            <w:color w:val="131A45"/>
          </w:rPr>
          <w:t xml:space="preserve">. </w:t>
        </w:r>
      </w:hyperlink>
    </w:p>
    <w:p w14:paraId="4E1AFFB9" w14:textId="77777777" w:rsidR="00BF02D1" w:rsidRDefault="00000000">
      <w:pPr>
        <w:widowControl w:val="0"/>
        <w:spacing w:before="600"/>
        <w:jc w:val="left"/>
        <w:rPr>
          <w:color w:val="131A45"/>
        </w:rPr>
      </w:pPr>
      <w:r>
        <w:rPr>
          <w:rFonts w:ascii="Lexend SemiBold" w:eastAsia="Lexend SemiBold" w:hAnsi="Lexend SemiBold" w:cs="Lexend SemiBold"/>
          <w:color w:val="131A45"/>
        </w:rPr>
        <w:t>ÉTAPE 10</w:t>
      </w:r>
      <w:r>
        <w:rPr>
          <w:b/>
          <w:color w:val="131A45"/>
        </w:rPr>
        <w:t xml:space="preserve"> : </w:t>
      </w:r>
      <w:r>
        <w:rPr>
          <w:color w:val="131A45"/>
        </w:rPr>
        <w:t>Prévoir une étape de contrôle et vérification.</w:t>
      </w:r>
    </w:p>
    <w:p w14:paraId="4E1AFFBA" w14:textId="77777777" w:rsidR="00BF02D1" w:rsidRDefault="00000000">
      <w:pPr>
        <w:widowControl w:val="0"/>
        <w:numPr>
          <w:ilvl w:val="0"/>
          <w:numId w:val="42"/>
        </w:numPr>
        <w:spacing w:after="200"/>
        <w:jc w:val="left"/>
        <w:rPr>
          <w:color w:val="131A45"/>
        </w:rPr>
      </w:pPr>
      <w:r>
        <w:rPr>
          <w:color w:val="131A45"/>
        </w:rPr>
        <w:t>Assurez-vous impérativement d’inclure plusieurs étapes de contrôle, vérification et laboratoire devant un public vivant avec les besoins concernés, et ce, tout au long du processus.</w:t>
      </w:r>
    </w:p>
    <w:p w14:paraId="4E1AFFBB" w14:textId="77777777" w:rsidR="00BF02D1" w:rsidRDefault="00000000">
      <w:pPr>
        <w:widowControl w:val="0"/>
        <w:numPr>
          <w:ilvl w:val="0"/>
          <w:numId w:val="42"/>
        </w:numPr>
        <w:spacing w:after="200"/>
        <w:jc w:val="left"/>
        <w:rPr>
          <w:color w:val="131A45"/>
        </w:rPr>
      </w:pPr>
      <w:r>
        <w:rPr>
          <w:color w:val="131A45"/>
        </w:rPr>
        <w:t>Il faut considérer tous les changements proposés et nécessaires, ce qui nécessite des ressources humaines, financières et de temps.</w:t>
      </w:r>
    </w:p>
    <w:p w14:paraId="4E1AFFBC" w14:textId="326A265E" w:rsidR="00BF02D1" w:rsidRDefault="00C23744">
      <w:pPr>
        <w:pStyle w:val="Titre2"/>
        <w:ind w:right="360"/>
      </w:pPr>
      <w:bookmarkStart w:id="22" w:name="_heading=h.4i7ojhp" w:colFirst="0" w:colLast="0"/>
      <w:bookmarkEnd w:id="22"/>
      <w:r>
        <w:rPr>
          <w:noProof/>
        </w:rPr>
        <w:lastRenderedPageBreak/>
        <w:drawing>
          <wp:anchor distT="0" distB="0" distL="0" distR="0" simplePos="0" relativeHeight="251683840" behindDoc="1" locked="0" layoutInCell="1" hidden="0" allowOverlap="1" wp14:anchorId="4E1B012D" wp14:editId="2B233119">
            <wp:simplePos x="0" y="0"/>
            <wp:positionH relativeFrom="page">
              <wp:posOffset>1680047</wp:posOffset>
            </wp:positionH>
            <wp:positionV relativeFrom="page">
              <wp:posOffset>705485</wp:posOffset>
            </wp:positionV>
            <wp:extent cx="4492625" cy="600075"/>
            <wp:effectExtent l="0" t="0" r="3175" b="0"/>
            <wp:wrapNone/>
            <wp:docPr id="130602836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492625" cy="600075"/>
                    </a:xfrm>
                    <a:prstGeom prst="rect">
                      <a:avLst/>
                    </a:prstGeom>
                    <a:ln/>
                  </pic:spPr>
                </pic:pic>
              </a:graphicData>
            </a:graphic>
          </wp:anchor>
        </w:drawing>
      </w:r>
      <w:r>
        <w:rPr>
          <w:noProof/>
        </w:rPr>
        <w:drawing>
          <wp:anchor distT="0" distB="0" distL="0" distR="0" simplePos="0" relativeHeight="251684864" behindDoc="1" locked="0" layoutInCell="1" hidden="0" allowOverlap="1" wp14:anchorId="4E1B012F" wp14:editId="2D4EB7C5">
            <wp:simplePos x="0" y="0"/>
            <wp:positionH relativeFrom="page">
              <wp:posOffset>3493135</wp:posOffset>
            </wp:positionH>
            <wp:positionV relativeFrom="page">
              <wp:posOffset>709295</wp:posOffset>
            </wp:positionV>
            <wp:extent cx="4492625" cy="600075"/>
            <wp:effectExtent l="0" t="0" r="3175" b="0"/>
            <wp:wrapNone/>
            <wp:docPr id="13060283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492625" cy="600075"/>
                    </a:xfrm>
                    <a:prstGeom prst="rect">
                      <a:avLst/>
                    </a:prstGeom>
                    <a:ln/>
                  </pic:spPr>
                </pic:pic>
              </a:graphicData>
            </a:graphic>
          </wp:anchor>
        </w:drawing>
      </w:r>
      <w:r>
        <w:t>Possibilités dramaturgiques de l’accessibilité</w:t>
      </w:r>
    </w:p>
    <w:p w14:paraId="4E1AFFBD" w14:textId="77777777" w:rsidR="00BF02D1" w:rsidRDefault="00000000">
      <w:pPr>
        <w:widowControl w:val="0"/>
        <w:jc w:val="left"/>
        <w:rPr>
          <w:color w:val="131A45"/>
        </w:rPr>
      </w:pPr>
      <w:r>
        <w:rPr>
          <w:color w:val="131A45"/>
        </w:rPr>
        <w:t xml:space="preserve">Il y a des milliers de façons d'inclure l'accessibilité au cœur même de nos créations. </w:t>
      </w:r>
    </w:p>
    <w:p w14:paraId="4E1AFFBE" w14:textId="77777777" w:rsidR="00BF02D1" w:rsidRDefault="00000000">
      <w:pPr>
        <w:widowControl w:val="0"/>
        <w:jc w:val="left"/>
        <w:rPr>
          <w:color w:val="131A45"/>
          <w:highlight w:val="white"/>
        </w:rPr>
      </w:pPr>
      <w:r>
        <w:rPr>
          <w:color w:val="131A45"/>
          <w:highlight w:val="white"/>
        </w:rPr>
        <w:t>Voici quelques pistes pour commencer à imaginer diverses formes d’accès à travers la dramaturgie d’une œuvre.</w:t>
      </w:r>
    </w:p>
    <w:p w14:paraId="4E1AFFBF" w14:textId="77777777" w:rsidR="00BF02D1" w:rsidRDefault="00000000">
      <w:pPr>
        <w:pStyle w:val="Titre3"/>
      </w:pPr>
      <w:bookmarkStart w:id="23" w:name="_heading=h.2xcytpi" w:colFirst="0" w:colLast="0"/>
      <w:bookmarkEnd w:id="23"/>
      <w:r>
        <w:t>L’ACCESSIBILITÉ FERMÉE VERSUS OUVERTE</w:t>
      </w:r>
    </w:p>
    <w:p w14:paraId="4E1AFFC0" w14:textId="77777777" w:rsidR="00BF02D1" w:rsidRDefault="00000000">
      <w:pPr>
        <w:widowControl w:val="0"/>
        <w:numPr>
          <w:ilvl w:val="0"/>
          <w:numId w:val="33"/>
        </w:numPr>
        <w:spacing w:before="400" w:after="200"/>
        <w:jc w:val="left"/>
        <w:rPr>
          <w:color w:val="131A45"/>
        </w:rPr>
      </w:pPr>
      <w:r>
        <w:rPr>
          <w:color w:val="131A45"/>
        </w:rPr>
        <w:t>L’accessibilité fermée est une méthode d’accessibilité qui n’est disponible que pour les personnes visées par une adaptation spécifique. Pensez par exemple à une audiodescription disponible avec un audio-casque et entendue uniquement par les personnes utilisant ce système.</w:t>
      </w:r>
    </w:p>
    <w:p w14:paraId="4E1AFFC1" w14:textId="77777777" w:rsidR="00BF02D1" w:rsidRDefault="00000000">
      <w:pPr>
        <w:numPr>
          <w:ilvl w:val="0"/>
          <w:numId w:val="33"/>
        </w:numPr>
        <w:jc w:val="left"/>
        <w:rPr>
          <w:color w:val="131A45"/>
        </w:rPr>
      </w:pPr>
      <w:r>
        <w:rPr>
          <w:color w:val="131A45"/>
        </w:rPr>
        <w:t>L’accessibilité fermée ne vise pas l’ensemble des spectatrices et spectateurs. Même si cela peut restreindre certaines possibilités créatives, vous pouvez utiliser ce concept pour proposer différentes versions du même spectacle. Pour en savoir plus sur cette possibilité, vous pouvez consulter la section</w:t>
      </w:r>
      <w:r>
        <w:rPr>
          <w:rFonts w:ascii="Lexend SemiBold" w:eastAsia="Lexend SemiBold" w:hAnsi="Lexend SemiBold" w:cs="Lexend SemiBold"/>
          <w:color w:val="131A45"/>
        </w:rPr>
        <w:t xml:space="preserve"> </w:t>
      </w:r>
      <w:hyperlink w:anchor="_heading=h.ihv636">
        <w:r w:rsidR="00BF02D1">
          <w:rPr>
            <w:i/>
            <w:color w:val="131A45"/>
            <w:u w:val="single"/>
          </w:rPr>
          <w:t>Scènes à distance et parallèles</w:t>
        </w:r>
      </w:hyperlink>
      <w:hyperlink w:anchor="_heading=h.ihv636">
        <w:r w:rsidR="00BF02D1">
          <w:rPr>
            <w:color w:val="131A45"/>
          </w:rPr>
          <w:t>, à la page 38.</w:t>
        </w:r>
      </w:hyperlink>
    </w:p>
    <w:p w14:paraId="4E1AFFC2" w14:textId="77777777" w:rsidR="00BF02D1" w:rsidRDefault="00000000">
      <w:pPr>
        <w:widowControl w:val="0"/>
        <w:numPr>
          <w:ilvl w:val="0"/>
          <w:numId w:val="33"/>
        </w:numPr>
        <w:spacing w:after="200"/>
        <w:jc w:val="left"/>
        <w:rPr>
          <w:color w:val="131A45"/>
        </w:rPr>
      </w:pPr>
      <w:r>
        <w:rPr>
          <w:color w:val="131A45"/>
        </w:rPr>
        <w:t>L’accessibilité ouverte est une méthode d’accessibilité prenant en compte tous les gens assistant à la représentation. Pensez par exemple à une audiodescription diffusée dans toute la salle. C’est une méthode qui rend l'œuvre accessible tout en devenant une partie même de la création, ce qui ajoute à l’expérience de toutes les personnes présentes.</w:t>
      </w:r>
    </w:p>
    <w:p w14:paraId="4E1AFFC3" w14:textId="77777777" w:rsidR="00BF02D1" w:rsidRDefault="00000000">
      <w:pPr>
        <w:widowControl w:val="0"/>
        <w:numPr>
          <w:ilvl w:val="0"/>
          <w:numId w:val="33"/>
        </w:numPr>
        <w:spacing w:after="200"/>
        <w:jc w:val="left"/>
        <w:rPr>
          <w:color w:val="131A45"/>
        </w:rPr>
      </w:pPr>
      <w:r>
        <w:rPr>
          <w:color w:val="131A45"/>
        </w:rPr>
        <w:t>L’accessibilité ouverte, même si elle est rarement mise en pratique, constitue un pilier de l’accessibilité créative, permettant d’explorer des pistes où l’accessibilité est au cœur même de l’œuvre et de son développement, menant ainsi à des visions créatives impossibles à réaliser en cantonnant l’accessibilité à un cercle restreint de personnes participantes.</w:t>
      </w:r>
    </w:p>
    <w:p w14:paraId="4E1AFFC4" w14:textId="77777777" w:rsidR="00BF02D1" w:rsidRDefault="00000000">
      <w:pPr>
        <w:pStyle w:val="Titre3"/>
        <w:rPr>
          <w:sz w:val="27"/>
          <w:szCs w:val="27"/>
        </w:rPr>
      </w:pPr>
      <w:bookmarkStart w:id="24" w:name="_heading=h.1ci93xb" w:colFirst="0" w:colLast="0"/>
      <w:bookmarkEnd w:id="24"/>
      <w:r>
        <w:rPr>
          <w:sz w:val="27"/>
          <w:szCs w:val="27"/>
        </w:rPr>
        <w:lastRenderedPageBreak/>
        <w:t>L’AUDIODESCRIPTION OU « THÉÂTRODESCRIPTION »</w:t>
      </w:r>
    </w:p>
    <w:p w14:paraId="4E1AFFC5" w14:textId="77777777" w:rsidR="00BF02D1" w:rsidRDefault="00000000">
      <w:pPr>
        <w:widowControl w:val="0"/>
        <w:numPr>
          <w:ilvl w:val="0"/>
          <w:numId w:val="49"/>
        </w:numPr>
        <w:spacing w:before="400" w:after="200"/>
        <w:jc w:val="left"/>
        <w:rPr>
          <w:color w:val="131A45"/>
        </w:rPr>
      </w:pPr>
      <w:r>
        <w:rPr>
          <w:color w:val="131A45"/>
        </w:rPr>
        <w:t xml:space="preserve">L'audiodescription consiste à décrire oralement les éléments visuels essentiels de la scène, tels que les décors, les costumes, les actions et les expressions des interprètes non explicitement mentionnés dans les dialogues. </w:t>
      </w:r>
    </w:p>
    <w:p w14:paraId="4E1AFFC6" w14:textId="77777777" w:rsidR="00BF02D1" w:rsidRDefault="00000000">
      <w:pPr>
        <w:widowControl w:val="0"/>
        <w:numPr>
          <w:ilvl w:val="0"/>
          <w:numId w:val="49"/>
        </w:numPr>
        <w:spacing w:before="0" w:after="200"/>
        <w:jc w:val="left"/>
        <w:rPr>
          <w:color w:val="131A45"/>
        </w:rPr>
      </w:pPr>
      <w:r>
        <w:rPr>
          <w:color w:val="131A45"/>
        </w:rPr>
        <w:t xml:space="preserve">Au-delà de la simple description, l’audiodescription peut être utilisée comme forme d’écriture à part entière. Elle peut s’aventurer dans du plus poétique ou descriptif, s’attarder sur des éléments précis à mettre en lumière, etc. </w:t>
      </w:r>
    </w:p>
    <w:p w14:paraId="4E1AFFC7" w14:textId="77777777" w:rsidR="00BF02D1" w:rsidRDefault="00000000">
      <w:pPr>
        <w:widowControl w:val="0"/>
        <w:numPr>
          <w:ilvl w:val="0"/>
          <w:numId w:val="49"/>
        </w:numPr>
        <w:spacing w:before="0" w:after="200"/>
        <w:jc w:val="left"/>
        <w:rPr>
          <w:color w:val="131A45"/>
        </w:rPr>
      </w:pPr>
      <w:r>
        <w:rPr>
          <w:color w:val="131A45"/>
        </w:rPr>
        <w:t xml:space="preserve">L’audiodescription peut devenir elle-même un personnage ou encore servir de narration; il y a mille manières de l’utiliser tout en gardant sa fonction d’outil d’accessibilité. </w:t>
      </w:r>
    </w:p>
    <w:p w14:paraId="4E1AFFC8" w14:textId="77777777" w:rsidR="00BF02D1" w:rsidRDefault="00000000">
      <w:pPr>
        <w:widowControl w:val="0"/>
        <w:numPr>
          <w:ilvl w:val="0"/>
          <w:numId w:val="49"/>
        </w:numPr>
        <w:spacing w:after="200"/>
        <w:jc w:val="left"/>
        <w:rPr>
          <w:color w:val="131A45"/>
        </w:rPr>
      </w:pPr>
      <w:r>
        <w:rPr>
          <w:color w:val="131A45"/>
        </w:rPr>
        <w:t>Elle permet de rendre audible une partie du visible, mais peut aussi nourrir l’imaginaire en faisant exister à l’écoute des éléments qui ne sont pas nécessairement perceptibles par la vision.</w:t>
      </w:r>
    </w:p>
    <w:p w14:paraId="4E1AFFC9" w14:textId="77777777" w:rsidR="00BF02D1" w:rsidRDefault="00000000">
      <w:pPr>
        <w:widowControl w:val="0"/>
        <w:numPr>
          <w:ilvl w:val="0"/>
          <w:numId w:val="49"/>
        </w:numPr>
        <w:spacing w:after="200"/>
        <w:jc w:val="left"/>
        <w:rPr>
          <w:color w:val="131A45"/>
        </w:rPr>
      </w:pPr>
      <w:r>
        <w:rPr>
          <w:color w:val="131A45"/>
        </w:rPr>
        <w:t xml:space="preserve">Des personnes sont formées spécifiquement pour réaliser de l’audiodescription en danse ou en théâtre, et connaissent les codes des diverses disciplines. Travailler avec elles représente un avantage considérable. </w:t>
      </w:r>
    </w:p>
    <w:p w14:paraId="4E1AFFCA" w14:textId="77777777" w:rsidR="00BF02D1" w:rsidRDefault="00000000">
      <w:pPr>
        <w:pStyle w:val="Titre3"/>
      </w:pPr>
      <w:bookmarkStart w:id="25" w:name="_heading=h.3whwml4" w:colFirst="0" w:colLast="0"/>
      <w:bookmarkEnd w:id="25"/>
      <w:r>
        <w:t>LES SURTITRES ET SOUS-TITRES</w:t>
      </w:r>
    </w:p>
    <w:p w14:paraId="4E1AFFCB" w14:textId="77777777" w:rsidR="00BF02D1" w:rsidRDefault="00000000">
      <w:pPr>
        <w:widowControl w:val="0"/>
        <w:numPr>
          <w:ilvl w:val="0"/>
          <w:numId w:val="60"/>
        </w:numPr>
        <w:spacing w:before="400" w:after="200"/>
        <w:jc w:val="left"/>
        <w:rPr>
          <w:color w:val="131A45"/>
        </w:rPr>
      </w:pPr>
      <w:r>
        <w:rPr>
          <w:color w:val="131A45"/>
        </w:rPr>
        <w:t xml:space="preserve">Les surtitres et sous-titres sont des textes projetés ou affichés sur scène pendant une représentation; les surtitres au haut de la scène et les sous-titres au bas. Ils permettent aux spectatrices et spectateurs de lire ce qui est dit sur scène. Ces surtitres, créés en amont, peuvent comprendre ou non des directives de scène ou des didascalies. </w:t>
      </w:r>
    </w:p>
    <w:p w14:paraId="4E1AFFCC" w14:textId="77777777" w:rsidR="00BF02D1" w:rsidRDefault="00000000">
      <w:pPr>
        <w:widowControl w:val="0"/>
        <w:numPr>
          <w:ilvl w:val="0"/>
          <w:numId w:val="60"/>
        </w:numPr>
        <w:spacing w:before="0" w:after="200"/>
        <w:jc w:val="left"/>
        <w:rPr>
          <w:color w:val="131A45"/>
        </w:rPr>
      </w:pPr>
      <w:r>
        <w:rPr>
          <w:color w:val="131A45"/>
        </w:rPr>
        <w:t>Les surtitres peuvent aussi servir à traduire ce qui est dit sur scène, d’une langue à une autre.</w:t>
      </w:r>
    </w:p>
    <w:p w14:paraId="4E1AFFCD" w14:textId="77777777" w:rsidR="00BF02D1" w:rsidRDefault="00000000">
      <w:pPr>
        <w:widowControl w:val="0"/>
        <w:numPr>
          <w:ilvl w:val="0"/>
          <w:numId w:val="60"/>
        </w:numPr>
        <w:spacing w:before="0" w:after="200"/>
        <w:jc w:val="left"/>
        <w:rPr>
          <w:color w:val="131A45"/>
        </w:rPr>
      </w:pPr>
      <w:r>
        <w:rPr>
          <w:color w:val="131A45"/>
        </w:rPr>
        <w:t xml:space="preserve">Un peu à la manière de l’audiodescription, le surtitre peut devenir un espace d’écriture fabuleux, sans oublier le besoin de base qu’il doit satisfaire. </w:t>
      </w:r>
    </w:p>
    <w:p w14:paraId="4E1AFFCE" w14:textId="77777777" w:rsidR="00BF02D1" w:rsidRDefault="00000000">
      <w:pPr>
        <w:widowControl w:val="0"/>
        <w:numPr>
          <w:ilvl w:val="0"/>
          <w:numId w:val="60"/>
        </w:numPr>
        <w:spacing w:before="0" w:after="200"/>
        <w:jc w:val="left"/>
        <w:rPr>
          <w:color w:val="131A45"/>
        </w:rPr>
      </w:pPr>
      <w:r>
        <w:rPr>
          <w:color w:val="131A45"/>
        </w:rPr>
        <w:lastRenderedPageBreak/>
        <w:t xml:space="preserve">Une dramaturgie par l’écriture peut être mise en place à travers les surtitres, en jouant avec le rythme par exemple, ou encore en insérant du texte supplémentaire, pour insuffler de la poésie, cultiver du mystère, etc. </w:t>
      </w:r>
    </w:p>
    <w:p w14:paraId="4E1AFFCF" w14:textId="77777777" w:rsidR="00BF02D1" w:rsidRDefault="00000000">
      <w:pPr>
        <w:widowControl w:val="0"/>
        <w:numPr>
          <w:ilvl w:val="0"/>
          <w:numId w:val="60"/>
        </w:numPr>
        <w:spacing w:after="200"/>
        <w:jc w:val="left"/>
        <w:rPr>
          <w:color w:val="131A45"/>
        </w:rPr>
      </w:pPr>
      <w:r>
        <w:rPr>
          <w:color w:val="131A45"/>
        </w:rPr>
        <w:t>Un personnage supplémentaire pourrait même apparaître dans les surtitres.</w:t>
      </w:r>
    </w:p>
    <w:p w14:paraId="4E1AFFD0" w14:textId="77777777" w:rsidR="00BF02D1" w:rsidRDefault="00000000">
      <w:pPr>
        <w:pStyle w:val="Titre3"/>
        <w:widowControl w:val="0"/>
        <w:spacing w:after="200"/>
        <w:jc w:val="left"/>
      </w:pPr>
      <w:bookmarkStart w:id="26" w:name="_heading=h.2bn6wsx" w:colFirst="0" w:colLast="0"/>
      <w:bookmarkEnd w:id="26"/>
      <w:r>
        <w:t xml:space="preserve">LA VÉLOTYPIE </w:t>
      </w:r>
    </w:p>
    <w:p w14:paraId="4E1AFFD1" w14:textId="77777777" w:rsidR="00BF02D1" w:rsidRDefault="00000000">
      <w:pPr>
        <w:numPr>
          <w:ilvl w:val="0"/>
          <w:numId w:val="28"/>
        </w:numPr>
        <w:spacing w:after="200"/>
        <w:rPr>
          <w:color w:val="131A45"/>
        </w:rPr>
      </w:pPr>
      <w:r>
        <w:rPr>
          <w:color w:val="131A45"/>
        </w:rPr>
        <w:t xml:space="preserve">La vélotypie est une technique de transcription en temps réel basée sur un clavier spécialisé, appelé « clavier </w:t>
      </w:r>
      <w:proofErr w:type="spellStart"/>
      <w:r>
        <w:rPr>
          <w:color w:val="131A45"/>
        </w:rPr>
        <w:t>vélotype</w:t>
      </w:r>
      <w:proofErr w:type="spellEnd"/>
      <w:r>
        <w:rPr>
          <w:color w:val="131A45"/>
        </w:rPr>
        <w:t> », qui permet de taper jusqu’à 200 mots par minute.</w:t>
      </w:r>
    </w:p>
    <w:p w14:paraId="4E1AFFD2" w14:textId="77777777" w:rsidR="00BF02D1" w:rsidRDefault="00000000">
      <w:pPr>
        <w:numPr>
          <w:ilvl w:val="0"/>
          <w:numId w:val="28"/>
        </w:numPr>
        <w:spacing w:after="200"/>
        <w:rPr>
          <w:color w:val="131A45"/>
        </w:rPr>
      </w:pPr>
      <w:r>
        <w:rPr>
          <w:color w:val="131A45"/>
        </w:rPr>
        <w:t xml:space="preserve">Ce système est principalement utilisé pour la retranscription en direct des discours, notamment pour les personnes s/Sourdes et malentendantes, mais peut-être aussi utilisé en art vivants. </w:t>
      </w:r>
    </w:p>
    <w:p w14:paraId="4E1AFFD3" w14:textId="77777777" w:rsidR="00BF02D1" w:rsidRDefault="00000000">
      <w:pPr>
        <w:numPr>
          <w:ilvl w:val="0"/>
          <w:numId w:val="28"/>
        </w:numPr>
        <w:spacing w:after="200"/>
        <w:rPr>
          <w:color w:val="131A45"/>
        </w:rPr>
      </w:pPr>
      <w:r>
        <w:rPr>
          <w:color w:val="131A45"/>
        </w:rPr>
        <w:t xml:space="preserve">Contrairement au surtitres et sous-titres, ce système peut mieux s’adapter aux improvisations et au caractère vivant des représentations, tout en offrant les mêmes possibilités artistiques que les autres moyens de sous-titrage. </w:t>
      </w:r>
    </w:p>
    <w:p w14:paraId="4E1AFFD4" w14:textId="77777777" w:rsidR="00BF02D1" w:rsidRDefault="00000000">
      <w:pPr>
        <w:pStyle w:val="Titre3"/>
        <w:spacing w:before="600" w:after="200"/>
      </w:pPr>
      <w:bookmarkStart w:id="27" w:name="_heading=h.qsh70q" w:colFirst="0" w:colLast="0"/>
      <w:bookmarkEnd w:id="27"/>
      <w:r>
        <w:t>LES LANGUES DES SIGNES</w:t>
      </w:r>
    </w:p>
    <w:p w14:paraId="4E1AFFD5" w14:textId="77777777" w:rsidR="00BF02D1" w:rsidRDefault="00000000">
      <w:pPr>
        <w:widowControl w:val="0"/>
        <w:numPr>
          <w:ilvl w:val="0"/>
          <w:numId w:val="14"/>
        </w:numPr>
        <w:spacing w:before="400" w:after="200"/>
        <w:jc w:val="left"/>
        <w:rPr>
          <w:color w:val="131A45"/>
        </w:rPr>
      </w:pPr>
      <w:r>
        <w:rPr>
          <w:color w:val="131A45"/>
        </w:rPr>
        <w:t xml:space="preserve">Au Québec, on utilise majoritairement la Langue des signes québécoise (LSQ), ainsi que la </w:t>
      </w:r>
      <w:r w:rsidRPr="00C23744">
        <w:rPr>
          <w:i/>
          <w:iCs/>
          <w:color w:val="131A45"/>
        </w:rPr>
        <w:t xml:space="preserve">American </w:t>
      </w:r>
      <w:proofErr w:type="spellStart"/>
      <w:r w:rsidRPr="00C23744">
        <w:rPr>
          <w:i/>
          <w:iCs/>
          <w:color w:val="131A45"/>
        </w:rPr>
        <w:t>Sign</w:t>
      </w:r>
      <w:proofErr w:type="spellEnd"/>
      <w:r w:rsidRPr="00C23744">
        <w:rPr>
          <w:i/>
          <w:iCs/>
          <w:color w:val="131A45"/>
        </w:rPr>
        <w:t xml:space="preserve"> </w:t>
      </w:r>
      <w:proofErr w:type="spellStart"/>
      <w:r w:rsidRPr="00C23744">
        <w:rPr>
          <w:i/>
          <w:iCs/>
          <w:color w:val="131A45"/>
        </w:rPr>
        <w:t>Language</w:t>
      </w:r>
      <w:proofErr w:type="spellEnd"/>
      <w:r w:rsidRPr="00C23744">
        <w:rPr>
          <w:i/>
          <w:iCs/>
          <w:color w:val="131A45"/>
        </w:rPr>
        <w:t xml:space="preserve"> (ASL)</w:t>
      </w:r>
      <w:r>
        <w:rPr>
          <w:color w:val="131A45"/>
        </w:rPr>
        <w:t xml:space="preserve"> et plusieurs langues des signes autochtones.</w:t>
      </w:r>
    </w:p>
    <w:p w14:paraId="4E1AFFD6" w14:textId="77777777" w:rsidR="00BF02D1" w:rsidRDefault="00000000">
      <w:pPr>
        <w:widowControl w:val="0"/>
        <w:numPr>
          <w:ilvl w:val="0"/>
          <w:numId w:val="14"/>
        </w:numPr>
        <w:spacing w:before="0" w:after="200"/>
        <w:jc w:val="left"/>
        <w:rPr>
          <w:color w:val="131A45"/>
        </w:rPr>
      </w:pPr>
      <w:r>
        <w:rPr>
          <w:color w:val="131A45"/>
        </w:rPr>
        <w:t xml:space="preserve">Rendant l'événement accessible entre autres aux personnes s/Sourdes </w:t>
      </w:r>
      <w:proofErr w:type="spellStart"/>
      <w:r>
        <w:rPr>
          <w:color w:val="131A45"/>
        </w:rPr>
        <w:t>signantes</w:t>
      </w:r>
      <w:proofErr w:type="spellEnd"/>
      <w:r>
        <w:rPr>
          <w:color w:val="131A45"/>
        </w:rPr>
        <w:t>, les langues des signes peuvent aussi allier accessibilité et art lorsqu’on les intègre dès le début du processus et à même la mise en scène.</w:t>
      </w:r>
    </w:p>
    <w:p w14:paraId="4E1AFFD7" w14:textId="77777777" w:rsidR="00BF02D1" w:rsidRDefault="00000000">
      <w:pPr>
        <w:widowControl w:val="0"/>
        <w:numPr>
          <w:ilvl w:val="0"/>
          <w:numId w:val="14"/>
        </w:numPr>
        <w:spacing w:after="200"/>
        <w:jc w:val="left"/>
        <w:rPr>
          <w:color w:val="131A45"/>
        </w:rPr>
      </w:pPr>
      <w:r>
        <w:rPr>
          <w:color w:val="131A45"/>
        </w:rPr>
        <w:t xml:space="preserve">Ces langues permettent d’aborder autrement le mouvement et l’expressivité des corps. Les interprètes en langue des signes peuvent aussi camper des rôles de la pièce. </w:t>
      </w:r>
    </w:p>
    <w:p w14:paraId="4E1AFFD8" w14:textId="77777777" w:rsidR="00BF02D1" w:rsidRDefault="00000000">
      <w:pPr>
        <w:pStyle w:val="Titre3"/>
      </w:pPr>
      <w:bookmarkStart w:id="28" w:name="_heading=h.3as4poj" w:colFirst="0" w:colLast="0"/>
      <w:bookmarkEnd w:id="28"/>
      <w:r>
        <w:lastRenderedPageBreak/>
        <w:t>LES VISITES TACTILES</w:t>
      </w:r>
    </w:p>
    <w:p w14:paraId="4E1AFFD9" w14:textId="77777777" w:rsidR="00BF02D1" w:rsidRDefault="00000000">
      <w:pPr>
        <w:widowControl w:val="0"/>
        <w:numPr>
          <w:ilvl w:val="0"/>
          <w:numId w:val="18"/>
        </w:numPr>
        <w:spacing w:before="400" w:after="200"/>
        <w:jc w:val="left"/>
        <w:rPr>
          <w:color w:val="131A45"/>
        </w:rPr>
      </w:pPr>
      <w:r>
        <w:rPr>
          <w:color w:val="131A45"/>
        </w:rPr>
        <w:t>Une visite tactile est une expérience d'accessibilité permettant de découvrir, de toucher et de comprendre les éléments visuels d'une production avant la représentation.</w:t>
      </w:r>
    </w:p>
    <w:p w14:paraId="4E1AFFDA" w14:textId="77777777" w:rsidR="00BF02D1" w:rsidRDefault="00000000">
      <w:pPr>
        <w:widowControl w:val="0"/>
        <w:numPr>
          <w:ilvl w:val="0"/>
          <w:numId w:val="18"/>
        </w:numPr>
        <w:spacing w:before="0" w:after="200"/>
        <w:jc w:val="left"/>
        <w:rPr>
          <w:color w:val="131A45"/>
        </w:rPr>
      </w:pPr>
      <w:r>
        <w:rPr>
          <w:color w:val="131A45"/>
        </w:rPr>
        <w:t xml:space="preserve">Ces visites sont souvent mises en place pour des personnes aveugles et malvoyantes, mais aussi pour des personnes </w:t>
      </w:r>
      <w:proofErr w:type="spellStart"/>
      <w:r>
        <w:rPr>
          <w:color w:val="131A45"/>
        </w:rPr>
        <w:t>neuroatypiques</w:t>
      </w:r>
      <w:proofErr w:type="spellEnd"/>
      <w:r>
        <w:rPr>
          <w:color w:val="131A45"/>
        </w:rPr>
        <w:t>.</w:t>
      </w:r>
    </w:p>
    <w:p w14:paraId="4E1AFFDB" w14:textId="77777777" w:rsidR="00BF02D1" w:rsidRDefault="00000000">
      <w:pPr>
        <w:widowControl w:val="0"/>
        <w:numPr>
          <w:ilvl w:val="0"/>
          <w:numId w:val="18"/>
        </w:numPr>
        <w:spacing w:before="0" w:after="200"/>
        <w:jc w:val="left"/>
        <w:rPr>
          <w:color w:val="131A45"/>
        </w:rPr>
      </w:pPr>
      <w:r>
        <w:rPr>
          <w:color w:val="131A45"/>
        </w:rPr>
        <w:t>Ces visites sont habituellement accompagnées par une personne décrivant les divers éléments scéniques. Un tel moment peut être réfléchi de façon dramaturgique et être une occasion de débuter la représentation. Le texte de ces visites peut être écrit dans l’optique d’accompagner le ton du spectacle.</w:t>
      </w:r>
    </w:p>
    <w:p w14:paraId="4E1AFFDC" w14:textId="77777777" w:rsidR="00BF02D1" w:rsidRDefault="00000000">
      <w:pPr>
        <w:widowControl w:val="0"/>
        <w:numPr>
          <w:ilvl w:val="0"/>
          <w:numId w:val="18"/>
        </w:numPr>
        <w:spacing w:before="0" w:after="200"/>
        <w:jc w:val="left"/>
        <w:rPr>
          <w:color w:val="131A45"/>
        </w:rPr>
      </w:pPr>
      <w:r>
        <w:rPr>
          <w:color w:val="131A45"/>
        </w:rPr>
        <w:t xml:space="preserve">Le public étant rarement invité à toucher ou à briser la rigide ligne qui le sépare de la scène en arts vivants, il peut être </w:t>
      </w:r>
      <w:proofErr w:type="spellStart"/>
      <w:r>
        <w:rPr>
          <w:color w:val="131A45"/>
        </w:rPr>
        <w:t>dramaturgiquement</w:t>
      </w:r>
      <w:proofErr w:type="spellEnd"/>
      <w:r>
        <w:rPr>
          <w:color w:val="131A45"/>
        </w:rPr>
        <w:t xml:space="preserve"> intéressant d’intégrer des éléments des visites tactiles dans un concept artistique, ou d’inscrire des visites tactiles directement dans le spectacle. </w:t>
      </w:r>
    </w:p>
    <w:p w14:paraId="4E1AFFDD" w14:textId="77777777" w:rsidR="00BF02D1" w:rsidRDefault="00000000">
      <w:pPr>
        <w:widowControl w:val="0"/>
        <w:numPr>
          <w:ilvl w:val="0"/>
          <w:numId w:val="18"/>
        </w:numPr>
        <w:spacing w:after="200"/>
        <w:jc w:val="left"/>
        <w:rPr>
          <w:color w:val="131A45"/>
        </w:rPr>
      </w:pPr>
      <w:r>
        <w:rPr>
          <w:color w:val="131A45"/>
        </w:rPr>
        <w:t>Ouvrir ce concept pour l’ensemble du public peut permettre de souligner des détails dans les décors et costumes qui ne seraient pas perçus autrement.</w:t>
      </w:r>
    </w:p>
    <w:p w14:paraId="4E1AFFDE" w14:textId="77777777" w:rsidR="00BF02D1" w:rsidRDefault="00000000">
      <w:pPr>
        <w:pStyle w:val="Titre3"/>
      </w:pPr>
      <w:bookmarkStart w:id="29" w:name="_heading=h.1pxezwc" w:colFirst="0" w:colLast="0"/>
      <w:bookmarkEnd w:id="29"/>
      <w:r>
        <w:t>LES OBJETS SENSORIELS</w:t>
      </w:r>
    </w:p>
    <w:p w14:paraId="4E1AFFDF" w14:textId="77777777" w:rsidR="00BF02D1" w:rsidRDefault="00000000">
      <w:pPr>
        <w:widowControl w:val="0"/>
        <w:numPr>
          <w:ilvl w:val="0"/>
          <w:numId w:val="36"/>
        </w:numPr>
        <w:spacing w:before="400" w:after="200"/>
        <w:jc w:val="left"/>
        <w:rPr>
          <w:color w:val="131A45"/>
        </w:rPr>
      </w:pPr>
      <w:r>
        <w:rPr>
          <w:color w:val="131A45"/>
        </w:rPr>
        <w:t xml:space="preserve">Les objets sensoriels sont des objets spécialement conçus pour stimuler ou apaiser les sens d’une personne, ainsi qu’aider à la concentration. Particulièrement pensés pour la clientèle </w:t>
      </w:r>
      <w:proofErr w:type="spellStart"/>
      <w:r>
        <w:rPr>
          <w:color w:val="131A45"/>
        </w:rPr>
        <w:t>neuroatypique</w:t>
      </w:r>
      <w:proofErr w:type="spellEnd"/>
      <w:r>
        <w:rPr>
          <w:color w:val="131A45"/>
        </w:rPr>
        <w:t>, ils peuvent aider toute personne à s’autoréguler.</w:t>
      </w:r>
    </w:p>
    <w:p w14:paraId="4E1AFFE0" w14:textId="77777777" w:rsidR="00BF02D1" w:rsidRDefault="00000000">
      <w:pPr>
        <w:widowControl w:val="0"/>
        <w:numPr>
          <w:ilvl w:val="0"/>
          <w:numId w:val="36"/>
        </w:numPr>
        <w:spacing w:after="200"/>
        <w:jc w:val="left"/>
        <w:rPr>
          <w:color w:val="131A45"/>
        </w:rPr>
      </w:pPr>
      <w:r>
        <w:rPr>
          <w:color w:val="131A45"/>
        </w:rPr>
        <w:t xml:space="preserve">Ces objets peuvent devenir de très intéressantes sources d’inspiration pour le plateau, l'accueil des publics et leur possible implication, pour ne nommer que ces applications. Colorés et texturés, ils peuvent être utilisés de nombreuses façons. </w:t>
      </w:r>
    </w:p>
    <w:p w14:paraId="4E1AFFE1" w14:textId="77777777" w:rsidR="00BF02D1" w:rsidRDefault="00000000">
      <w:pPr>
        <w:pStyle w:val="Titre3"/>
        <w:widowControl w:val="0"/>
        <w:spacing w:after="200"/>
        <w:jc w:val="left"/>
      </w:pPr>
      <w:bookmarkStart w:id="30" w:name="_heading=h.49x2ik5" w:colFirst="0" w:colLast="0"/>
      <w:bookmarkEnd w:id="30"/>
      <w:r>
        <w:lastRenderedPageBreak/>
        <w:t xml:space="preserve">ARTS </w:t>
      </w:r>
      <w:r w:rsidRPr="00C23744">
        <w:rPr>
          <w:i/>
        </w:rPr>
        <w:t>CRIPS</w:t>
      </w:r>
      <w:r>
        <w:rPr>
          <w:rFonts w:ascii="Lexend" w:eastAsia="Lexend" w:hAnsi="Lexend" w:cs="Lexend"/>
          <w:b/>
          <w:vertAlign w:val="superscript"/>
        </w:rPr>
        <w:footnoteReference w:id="14"/>
      </w:r>
      <w:r>
        <w:t xml:space="preserve"> (ET SES VARIANTES) :</w:t>
      </w:r>
    </w:p>
    <w:p w14:paraId="4E1AFFE2" w14:textId="77777777" w:rsidR="00BF02D1" w:rsidRDefault="00000000">
      <w:pPr>
        <w:widowControl w:val="0"/>
        <w:numPr>
          <w:ilvl w:val="0"/>
          <w:numId w:val="34"/>
        </w:numPr>
        <w:spacing w:before="400" w:after="200"/>
        <w:jc w:val="left"/>
        <w:rPr>
          <w:color w:val="131A45"/>
        </w:rPr>
      </w:pPr>
      <w:r>
        <w:rPr>
          <w:color w:val="131A45"/>
        </w:rPr>
        <w:t xml:space="preserve">Les arts </w:t>
      </w:r>
      <w:proofErr w:type="spellStart"/>
      <w:r w:rsidRPr="00C23744">
        <w:rPr>
          <w:i/>
          <w:color w:val="131A45"/>
        </w:rPr>
        <w:t>crips</w:t>
      </w:r>
      <w:proofErr w:type="spellEnd"/>
      <w:r>
        <w:rPr>
          <w:color w:val="131A45"/>
        </w:rPr>
        <w:t xml:space="preserve"> désignent un mouvement artistique qui a émergé au sein de la communauté dite la diversité fonctionnelle et qui revendique une représentation authentique des expériences de ses membres et de leurs réalités à travers des œuvres artistiques. </w:t>
      </w:r>
    </w:p>
    <w:p w14:paraId="4E1AFFE3" w14:textId="77777777" w:rsidR="00BF02D1" w:rsidRDefault="00000000">
      <w:pPr>
        <w:widowControl w:val="0"/>
        <w:numPr>
          <w:ilvl w:val="0"/>
          <w:numId w:val="34"/>
        </w:numPr>
        <w:spacing w:before="0" w:after="200"/>
        <w:jc w:val="left"/>
        <w:rPr>
          <w:color w:val="131A45"/>
        </w:rPr>
      </w:pPr>
      <w:r>
        <w:rPr>
          <w:color w:val="131A45"/>
        </w:rPr>
        <w:t xml:space="preserve">Se réappropriant le terme </w:t>
      </w:r>
      <w:proofErr w:type="spellStart"/>
      <w:r w:rsidRPr="00C23744">
        <w:rPr>
          <w:i/>
          <w:color w:val="131A45"/>
        </w:rPr>
        <w:t>cripple</w:t>
      </w:r>
      <w:proofErr w:type="spellEnd"/>
      <w:r>
        <w:rPr>
          <w:color w:val="131A45"/>
        </w:rPr>
        <w:t>, le mouvement, qui inclut aussi l</w:t>
      </w:r>
      <w:proofErr w:type="gramStart"/>
      <w:r>
        <w:rPr>
          <w:color w:val="131A45"/>
        </w:rPr>
        <w:t>’«</w:t>
      </w:r>
      <w:proofErr w:type="gramEnd"/>
      <w:r>
        <w:rPr>
          <w:color w:val="131A45"/>
        </w:rPr>
        <w:t> art fou</w:t>
      </w:r>
      <w:r>
        <w:rPr>
          <w:color w:val="131A45"/>
          <w:vertAlign w:val="superscript"/>
        </w:rPr>
        <w:footnoteReference w:id="15"/>
      </w:r>
      <w:r>
        <w:rPr>
          <w:color w:val="131A45"/>
        </w:rPr>
        <w:t> », se veut une rébellion contre les stéréotypes et les représentations négatives des personnes en situation de handicap dans les arts et dans la société en général.</w:t>
      </w:r>
    </w:p>
    <w:p w14:paraId="4E1AFFE4" w14:textId="77777777" w:rsidR="00BF02D1" w:rsidRDefault="00000000">
      <w:pPr>
        <w:widowControl w:val="0"/>
        <w:numPr>
          <w:ilvl w:val="0"/>
          <w:numId w:val="34"/>
        </w:numPr>
        <w:spacing w:after="200"/>
        <w:jc w:val="left"/>
        <w:rPr>
          <w:color w:val="131A45"/>
        </w:rPr>
      </w:pPr>
      <w:r>
        <w:rPr>
          <w:color w:val="131A45"/>
        </w:rPr>
        <w:t xml:space="preserve">Inviter des artistes ayant une démarche en arts </w:t>
      </w:r>
      <w:proofErr w:type="spellStart"/>
      <w:r w:rsidRPr="00C23744">
        <w:rPr>
          <w:i/>
          <w:color w:val="131A45"/>
        </w:rPr>
        <w:t>crip</w:t>
      </w:r>
      <w:proofErr w:type="spellEnd"/>
      <w:r>
        <w:rPr>
          <w:color w:val="131A45"/>
        </w:rPr>
        <w:t xml:space="preserve"> dans le processus artistique d’une création peut permettre d’explorer l’accessibilité d’un point de vue créatif, tout en encourageant des processus éthiques de représentation. </w:t>
      </w:r>
    </w:p>
    <w:p w14:paraId="4E1AFFE5" w14:textId="77777777" w:rsidR="00BF02D1" w:rsidRDefault="00000000">
      <w:pPr>
        <w:pStyle w:val="Titre3"/>
      </w:pPr>
      <w:bookmarkStart w:id="31" w:name="_heading=h.2p2csry" w:colFirst="0" w:colLast="0"/>
      <w:bookmarkEnd w:id="31"/>
      <w:r>
        <w:t>DRAMATURGIE DE LA PERTE</w:t>
      </w:r>
    </w:p>
    <w:p w14:paraId="4E1AFFE6" w14:textId="77777777" w:rsidR="00BF02D1" w:rsidRDefault="00000000">
      <w:pPr>
        <w:widowControl w:val="0"/>
        <w:numPr>
          <w:ilvl w:val="0"/>
          <w:numId w:val="29"/>
        </w:numPr>
        <w:spacing w:before="400" w:after="400"/>
        <w:jc w:val="left"/>
        <w:rPr>
          <w:color w:val="131A45"/>
        </w:rPr>
      </w:pPr>
      <w:r>
        <w:rPr>
          <w:color w:val="131A45"/>
        </w:rPr>
        <w:t xml:space="preserve">Le système de pensée trop souvent mis de l’avant est que les personnes qui vivent sans enjeux fonctionnels ne doivent rien perdre d’une œuvre, tandis qu’on accepte que les personnes dites de la diversité fonctionnelle </w:t>
      </w:r>
      <w:proofErr w:type="gramStart"/>
      <w:r>
        <w:rPr>
          <w:color w:val="131A45"/>
        </w:rPr>
        <w:t>n'ont</w:t>
      </w:r>
      <w:proofErr w:type="gramEnd"/>
      <w:r>
        <w:rPr>
          <w:color w:val="131A45"/>
        </w:rPr>
        <w:t xml:space="preserve"> pas accès à tout. </w:t>
      </w:r>
    </w:p>
    <w:p w14:paraId="4E1AFFE7" w14:textId="77777777" w:rsidR="00BF02D1" w:rsidRDefault="00000000">
      <w:pPr>
        <w:widowControl w:val="0"/>
        <w:numPr>
          <w:ilvl w:val="0"/>
          <w:numId w:val="29"/>
        </w:numPr>
        <w:jc w:val="left"/>
        <w:rPr>
          <w:color w:val="131A45"/>
        </w:rPr>
      </w:pPr>
      <w:r>
        <w:rPr>
          <w:color w:val="131A45"/>
        </w:rPr>
        <w:t>Il peut être intéressant dans une écriture dramaturgique de repenser ces aspects de privilège, de perte et d’accès.</w:t>
      </w:r>
    </w:p>
    <w:p w14:paraId="4E1AFFE8" w14:textId="77777777" w:rsidR="00BF02D1" w:rsidRDefault="00000000">
      <w:pPr>
        <w:pStyle w:val="Titre3"/>
      </w:pPr>
      <w:bookmarkStart w:id="32" w:name="_heading=h.147n2zr" w:colFirst="0" w:colLast="0"/>
      <w:bookmarkEnd w:id="32"/>
      <w:r>
        <w:t>MÉDIATION CULTURELLE AVANT ET APRÈS LE SPECTACLE</w:t>
      </w:r>
    </w:p>
    <w:p w14:paraId="4E1AFFE9" w14:textId="77777777" w:rsidR="00BF02D1" w:rsidRDefault="00000000">
      <w:pPr>
        <w:widowControl w:val="0"/>
        <w:numPr>
          <w:ilvl w:val="0"/>
          <w:numId w:val="11"/>
        </w:numPr>
        <w:spacing w:before="400" w:after="200"/>
        <w:jc w:val="left"/>
        <w:rPr>
          <w:color w:val="131A45"/>
        </w:rPr>
      </w:pPr>
      <w:r>
        <w:rPr>
          <w:color w:val="131A45"/>
        </w:rPr>
        <w:t xml:space="preserve">Les pratiques de médiation et de démocratisation des arts sont déjà bien </w:t>
      </w:r>
      <w:r>
        <w:rPr>
          <w:color w:val="131A45"/>
        </w:rPr>
        <w:lastRenderedPageBreak/>
        <w:t xml:space="preserve">présentes au cœur de plusieurs compagnies. Il s’agit d’outils précieux à l’accessibilité pour préparer l’accueil des spectatrices et spectateurs, en plus de soutenir la compréhension de l'œuvre dans toutes ses ramifications, ce qui peut être apprécié par plusieurs participantes et participants. </w:t>
      </w:r>
    </w:p>
    <w:p w14:paraId="4E1AFFEA" w14:textId="77777777" w:rsidR="00BF02D1" w:rsidRDefault="00000000">
      <w:pPr>
        <w:widowControl w:val="0"/>
        <w:numPr>
          <w:ilvl w:val="0"/>
          <w:numId w:val="11"/>
        </w:numPr>
        <w:spacing w:after="200"/>
        <w:jc w:val="left"/>
        <w:rPr>
          <w:color w:val="131A45"/>
        </w:rPr>
      </w:pPr>
      <w:r>
        <w:rPr>
          <w:color w:val="131A45"/>
        </w:rPr>
        <w:t xml:space="preserve">En accessibilité créative, ces temps de rencontre avec le public peuvent se réfléchir comme une extension de la représentation. Comment l’accès à cette médiation permet de débuter ou de poursuivre l’écriture dramaturgique de la représentation ? </w:t>
      </w:r>
    </w:p>
    <w:p w14:paraId="4E1AFFEB" w14:textId="77777777" w:rsidR="00BF02D1" w:rsidRDefault="00000000">
      <w:pPr>
        <w:pStyle w:val="Titre3"/>
      </w:pPr>
      <w:bookmarkStart w:id="33" w:name="_heading=h.3o7alnk" w:colFirst="0" w:colLast="0"/>
      <w:bookmarkEnd w:id="33"/>
      <w:r>
        <w:t>DIVERSES TECHNOLOGIES</w:t>
      </w:r>
    </w:p>
    <w:p w14:paraId="4E1AFFEC" w14:textId="77777777" w:rsidR="00BF02D1" w:rsidRDefault="00000000">
      <w:pPr>
        <w:widowControl w:val="0"/>
        <w:numPr>
          <w:ilvl w:val="0"/>
          <w:numId w:val="74"/>
        </w:numPr>
        <w:spacing w:before="400" w:after="200"/>
        <w:jc w:val="left"/>
        <w:rPr>
          <w:color w:val="131A45"/>
        </w:rPr>
      </w:pPr>
      <w:r>
        <w:rPr>
          <w:color w:val="131A45"/>
        </w:rPr>
        <w:t xml:space="preserve">Il existe une énorme quantité de technologies qui peuvent être d’un grand soutien pour améliorer l’accessibilité, que ce soit la projection, la réalité virtuelle ou augmentée, la captation de mouvement, les systèmes de jeux vidéo, les cellulaires, etc. </w:t>
      </w:r>
    </w:p>
    <w:p w14:paraId="4E1AFFED" w14:textId="77777777" w:rsidR="00BF02D1" w:rsidRDefault="00000000">
      <w:pPr>
        <w:widowControl w:val="0"/>
        <w:numPr>
          <w:ilvl w:val="0"/>
          <w:numId w:val="74"/>
        </w:numPr>
        <w:spacing w:after="200"/>
        <w:jc w:val="left"/>
        <w:rPr>
          <w:color w:val="131A45"/>
        </w:rPr>
      </w:pPr>
      <w:r>
        <w:rPr>
          <w:color w:val="131A45"/>
        </w:rPr>
        <w:t>Autant qu’elles peuvent être créatives, il est important de s’assurer de leur fonctionnalité et de prévoir un poste de soutien technique, afin d’éviter l’accessibilité de façade. La technologie employée doit donc répondre à un besoin réel pour ne pas seulement servir d’outil tape-à-l'œil.</w:t>
      </w:r>
    </w:p>
    <w:p w14:paraId="4E1AFFEE" w14:textId="77777777" w:rsidR="00BF02D1" w:rsidRDefault="00000000">
      <w:pPr>
        <w:pStyle w:val="Titre3"/>
      </w:pPr>
      <w:bookmarkStart w:id="34" w:name="_heading=h.23ckvvd" w:colFirst="0" w:colLast="0"/>
      <w:bookmarkEnd w:id="34"/>
      <w:r>
        <w:t>LES SCÈNES PARALLÈLES ET LE THÉÂTRE À DISTANCE</w:t>
      </w:r>
    </w:p>
    <w:p w14:paraId="4E1AFFEF" w14:textId="77777777" w:rsidR="00BF02D1" w:rsidRDefault="00000000">
      <w:pPr>
        <w:widowControl w:val="0"/>
        <w:numPr>
          <w:ilvl w:val="0"/>
          <w:numId w:val="64"/>
        </w:numPr>
        <w:spacing w:before="400" w:after="200"/>
        <w:jc w:val="left"/>
        <w:rPr>
          <w:color w:val="131A45"/>
        </w:rPr>
      </w:pPr>
      <w:r>
        <w:rPr>
          <w:color w:val="131A45"/>
        </w:rPr>
        <w:t>Il existe de nombreux moyens de penser les méthodes de diffusion d’une œuvre pour donner différents types d’accès à des personnes n’ayant pas nécessairement le privilège de pouvoir se déplacer dans les lieux culturels traditionnels.</w:t>
      </w:r>
    </w:p>
    <w:p w14:paraId="4E1AFFF0" w14:textId="77777777" w:rsidR="00BF02D1" w:rsidRDefault="00000000">
      <w:pPr>
        <w:widowControl w:val="0"/>
        <w:numPr>
          <w:ilvl w:val="0"/>
          <w:numId w:val="64"/>
        </w:numPr>
        <w:spacing w:after="200"/>
        <w:jc w:val="left"/>
        <w:rPr>
          <w:color w:val="131A45"/>
        </w:rPr>
      </w:pPr>
      <w:r>
        <w:rPr>
          <w:color w:val="131A45"/>
        </w:rPr>
        <w:t>Pour en savoir plus, consultez la section</w:t>
      </w:r>
      <w:r>
        <w:rPr>
          <w:i/>
          <w:color w:val="131A45"/>
        </w:rPr>
        <w:t xml:space="preserve"> </w:t>
      </w:r>
      <w:hyperlink w:anchor="_heading=h.ihv636">
        <w:r w:rsidR="00BF02D1">
          <w:rPr>
            <w:i/>
            <w:color w:val="131A45"/>
            <w:u w:val="single"/>
          </w:rPr>
          <w:t>Scènes à distance et parallèles</w:t>
        </w:r>
      </w:hyperlink>
      <w:r>
        <w:rPr>
          <w:color w:val="131A45"/>
        </w:rPr>
        <w:t>, à la page 38.</w:t>
      </w:r>
    </w:p>
    <w:p w14:paraId="4E1AFFF1" w14:textId="54A47CE4" w:rsidR="00BF02D1" w:rsidRDefault="00C23744">
      <w:pPr>
        <w:pStyle w:val="Titre2"/>
        <w:ind w:right="360"/>
      </w:pPr>
      <w:bookmarkStart w:id="35" w:name="_heading=h.ihv636" w:colFirst="0" w:colLast="0"/>
      <w:bookmarkEnd w:id="35"/>
      <w:r>
        <w:rPr>
          <w:noProof/>
        </w:rPr>
        <w:lastRenderedPageBreak/>
        <w:drawing>
          <wp:anchor distT="0" distB="0" distL="0" distR="0" simplePos="0" relativeHeight="251685888" behindDoc="1" locked="0" layoutInCell="1" hidden="0" allowOverlap="1" wp14:anchorId="4E1B0131" wp14:editId="17C14B83">
            <wp:simplePos x="0" y="0"/>
            <wp:positionH relativeFrom="page">
              <wp:posOffset>5800725</wp:posOffset>
            </wp:positionH>
            <wp:positionV relativeFrom="page">
              <wp:posOffset>707862</wp:posOffset>
            </wp:positionV>
            <wp:extent cx="4492625" cy="600075"/>
            <wp:effectExtent l="0" t="0" r="3175" b="0"/>
            <wp:wrapNone/>
            <wp:docPr id="130602835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492625" cy="600075"/>
                    </a:xfrm>
                    <a:prstGeom prst="rect">
                      <a:avLst/>
                    </a:prstGeom>
                    <a:ln/>
                  </pic:spPr>
                </pic:pic>
              </a:graphicData>
            </a:graphic>
          </wp:anchor>
        </w:drawing>
      </w:r>
      <w:r>
        <w:rPr>
          <w:noProof/>
        </w:rPr>
        <w:drawing>
          <wp:anchor distT="0" distB="0" distL="0" distR="0" simplePos="0" relativeHeight="251686912" behindDoc="1" locked="0" layoutInCell="1" hidden="0" allowOverlap="1" wp14:anchorId="4E1B0133" wp14:editId="45580A26">
            <wp:simplePos x="0" y="0"/>
            <wp:positionH relativeFrom="page">
              <wp:posOffset>3104987</wp:posOffset>
            </wp:positionH>
            <wp:positionV relativeFrom="page">
              <wp:posOffset>707390</wp:posOffset>
            </wp:positionV>
            <wp:extent cx="4492625" cy="600075"/>
            <wp:effectExtent l="0" t="0" r="3175" b="0"/>
            <wp:wrapNone/>
            <wp:docPr id="13060283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492625" cy="600075"/>
                    </a:xfrm>
                    <a:prstGeom prst="rect">
                      <a:avLst/>
                    </a:prstGeom>
                    <a:ln/>
                  </pic:spPr>
                </pic:pic>
              </a:graphicData>
            </a:graphic>
          </wp:anchor>
        </w:drawing>
      </w:r>
      <w:r>
        <w:t>Scènes à distance et parallèles</w:t>
      </w:r>
    </w:p>
    <w:p w14:paraId="4E1AFFF2" w14:textId="77777777" w:rsidR="00BF02D1" w:rsidRDefault="00000000">
      <w:pPr>
        <w:widowControl w:val="0"/>
        <w:jc w:val="left"/>
        <w:rPr>
          <w:color w:val="131A45"/>
        </w:rPr>
      </w:pPr>
      <w:r>
        <w:rPr>
          <w:color w:val="131A45"/>
        </w:rPr>
        <w:t xml:space="preserve">Beaucoup de gens ne peuvent pas se déplacer dans les lieux culturels traditionnels, que ce soit en raison d’une question d’âge, de santé, d’énergie, d’obligations familiales, d’obligations de proche aidant ou de géographie.  </w:t>
      </w:r>
    </w:p>
    <w:p w14:paraId="4E1AFFF3" w14:textId="77777777" w:rsidR="00BF02D1" w:rsidRDefault="00000000">
      <w:pPr>
        <w:widowControl w:val="0"/>
        <w:jc w:val="left"/>
        <w:rPr>
          <w:color w:val="131A45"/>
        </w:rPr>
      </w:pPr>
      <w:r>
        <w:rPr>
          <w:color w:val="131A45"/>
        </w:rPr>
        <w:t xml:space="preserve">Pour aider à pallier cet enjeu compromettant la citoyenneté culturelle de toutes et tous, il est possible de se tourner vers les scènes à distance. Ouvrant les portes de l’accessibilité créative, ces propositions à distance sont souvent boudées par les créatrices et créateurs craignant la disparition du théâtre traditionnel, mais celles-ci peuvent être à la fois profondément théâtrales, accessibles et créatives. </w:t>
      </w:r>
    </w:p>
    <w:p w14:paraId="4E1AFFF4" w14:textId="77777777" w:rsidR="00BF02D1" w:rsidRDefault="00000000">
      <w:pPr>
        <w:pStyle w:val="Titre3"/>
      </w:pPr>
      <w:bookmarkStart w:id="36" w:name="_heading=h.32hioqz" w:colFirst="0" w:colLast="0"/>
      <w:bookmarkEnd w:id="36"/>
      <w:r>
        <w:t>QU’EST-CE QUE LES SCÈNES À DISTANCE ?</w:t>
      </w:r>
    </w:p>
    <w:p w14:paraId="4E1AFFF5" w14:textId="77777777" w:rsidR="00BF02D1" w:rsidRDefault="00000000">
      <w:pPr>
        <w:spacing w:before="400"/>
        <w:rPr>
          <w:color w:val="131A45"/>
        </w:rPr>
      </w:pPr>
      <w:r>
        <w:rPr>
          <w:color w:val="131A45"/>
        </w:rPr>
        <w:t xml:space="preserve">Les scènes à distance incluent toute forme de représentation en arts vivants où les artistes scéniques et le public ne sont pas physiquement réunis dans un même lieu, reposant sur l’usage des technologies de communication pour permettre la diffusion et l’interaction. </w:t>
      </w:r>
    </w:p>
    <w:p w14:paraId="4E1AFFF6" w14:textId="77777777" w:rsidR="00BF02D1" w:rsidRDefault="00000000">
      <w:pPr>
        <w:spacing w:before="400"/>
        <w:rPr>
          <w:color w:val="131A45"/>
          <w:shd w:val="clear" w:color="auto" w:fill="D5A6BD"/>
        </w:rPr>
      </w:pPr>
      <w:r>
        <w:rPr>
          <w:color w:val="131A45"/>
        </w:rPr>
        <w:t xml:space="preserve">Cette forme de représentation implique : </w:t>
      </w:r>
    </w:p>
    <w:p w14:paraId="4E1AFFF7" w14:textId="77777777" w:rsidR="00BF02D1" w:rsidRDefault="00000000">
      <w:pPr>
        <w:widowControl w:val="0"/>
        <w:numPr>
          <w:ilvl w:val="0"/>
          <w:numId w:val="13"/>
        </w:numPr>
        <w:jc w:val="left"/>
        <w:rPr>
          <w:color w:val="131A45"/>
        </w:rPr>
      </w:pPr>
      <w:r>
        <w:rPr>
          <w:color w:val="131A45"/>
        </w:rPr>
        <w:t>Un spectacle accessible de l’endroit où la spectatrice ou le spectateur choisit de vivre son expérience</w:t>
      </w:r>
    </w:p>
    <w:p w14:paraId="4E1AFFF8" w14:textId="77777777" w:rsidR="00BF02D1" w:rsidRDefault="00000000">
      <w:pPr>
        <w:widowControl w:val="0"/>
        <w:numPr>
          <w:ilvl w:val="0"/>
          <w:numId w:val="13"/>
        </w:numPr>
        <w:jc w:val="left"/>
        <w:rPr>
          <w:color w:val="131A45"/>
        </w:rPr>
      </w:pPr>
      <w:r>
        <w:rPr>
          <w:color w:val="131A45"/>
        </w:rPr>
        <w:t xml:space="preserve">Du théâtre qui respecte l’essence de la rencontre théâtrale </w:t>
      </w:r>
      <w:r>
        <w:rPr>
          <w:rFonts w:ascii="Lexend SemiBold" w:eastAsia="Lexend SemiBold" w:hAnsi="Lexend SemiBold" w:cs="Lexend SemiBold"/>
          <w:color w:val="131A45"/>
        </w:rPr>
        <w:t xml:space="preserve">en direct </w:t>
      </w:r>
      <w:r>
        <w:rPr>
          <w:color w:val="131A45"/>
        </w:rPr>
        <w:t>entre au moins une ou un artiste scénique et une ou un membre du public</w:t>
      </w:r>
    </w:p>
    <w:p w14:paraId="4E1AFFF9" w14:textId="77777777" w:rsidR="00BF02D1" w:rsidRDefault="00000000">
      <w:pPr>
        <w:widowControl w:val="0"/>
        <w:numPr>
          <w:ilvl w:val="0"/>
          <w:numId w:val="13"/>
        </w:numPr>
        <w:jc w:val="left"/>
        <w:rPr>
          <w:color w:val="131A45"/>
        </w:rPr>
      </w:pPr>
      <w:r>
        <w:rPr>
          <w:color w:val="131A45"/>
        </w:rPr>
        <w:t xml:space="preserve">Une représentation qui prend en compte et se mélange à l’environnement où se trouve la participante ou le participant; un lieu d’écoute qui </w:t>
      </w:r>
      <w:proofErr w:type="gramStart"/>
      <w:r>
        <w:rPr>
          <w:color w:val="131A45"/>
        </w:rPr>
        <w:t>a</w:t>
      </w:r>
      <w:proofErr w:type="gramEnd"/>
      <w:r>
        <w:rPr>
          <w:color w:val="131A45"/>
        </w:rPr>
        <w:t xml:space="preserve"> une influence sur le résultat</w:t>
      </w:r>
    </w:p>
    <w:p w14:paraId="4E1AFFFA" w14:textId="77777777" w:rsidR="00BF02D1" w:rsidRDefault="00000000">
      <w:pPr>
        <w:widowControl w:val="0"/>
        <w:spacing w:before="1000"/>
        <w:jc w:val="left"/>
        <w:rPr>
          <w:color w:val="131A45"/>
        </w:rPr>
      </w:pPr>
      <w:r>
        <w:rPr>
          <w:color w:val="131A45"/>
        </w:rPr>
        <w:lastRenderedPageBreak/>
        <w:t xml:space="preserve">Des exemples de scènes à distance : </w:t>
      </w:r>
    </w:p>
    <w:p w14:paraId="4E1AFFFB" w14:textId="77777777" w:rsidR="00BF02D1" w:rsidRDefault="00000000">
      <w:pPr>
        <w:widowControl w:val="0"/>
        <w:numPr>
          <w:ilvl w:val="0"/>
          <w:numId w:val="65"/>
        </w:numPr>
        <w:jc w:val="left"/>
        <w:rPr>
          <w:color w:val="131A45"/>
        </w:rPr>
      </w:pPr>
      <w:r>
        <w:rPr>
          <w:color w:val="131A45"/>
        </w:rPr>
        <w:t xml:space="preserve">Radiophonique </w:t>
      </w:r>
    </w:p>
    <w:p w14:paraId="4E1AFFFC" w14:textId="77777777" w:rsidR="00BF02D1" w:rsidRDefault="00000000">
      <w:pPr>
        <w:widowControl w:val="0"/>
        <w:numPr>
          <w:ilvl w:val="0"/>
          <w:numId w:val="65"/>
        </w:numPr>
        <w:jc w:val="left"/>
        <w:rPr>
          <w:color w:val="131A45"/>
        </w:rPr>
      </w:pPr>
      <w:r>
        <w:rPr>
          <w:color w:val="131A45"/>
        </w:rPr>
        <w:t xml:space="preserve">Téléphonique </w:t>
      </w:r>
    </w:p>
    <w:p w14:paraId="4E1AFFFD" w14:textId="77777777" w:rsidR="00BF02D1" w:rsidRDefault="00000000">
      <w:pPr>
        <w:widowControl w:val="0"/>
        <w:numPr>
          <w:ilvl w:val="0"/>
          <w:numId w:val="65"/>
        </w:numPr>
        <w:jc w:val="left"/>
        <w:rPr>
          <w:color w:val="131A45"/>
        </w:rPr>
      </w:pPr>
      <w:r>
        <w:rPr>
          <w:color w:val="131A45"/>
        </w:rPr>
        <w:t>Plateforme internet</w:t>
      </w:r>
    </w:p>
    <w:p w14:paraId="4E1AFFFE" w14:textId="77777777" w:rsidR="00BF02D1" w:rsidRDefault="00000000">
      <w:pPr>
        <w:pStyle w:val="Titre3"/>
        <w:widowControl w:val="0"/>
        <w:spacing w:before="600"/>
        <w:jc w:val="left"/>
      </w:pPr>
      <w:bookmarkStart w:id="37" w:name="_heading=h.1hmsyys" w:colFirst="0" w:colLast="0"/>
      <w:bookmarkEnd w:id="37"/>
      <w:r>
        <w:t>LES AVANTAGES DES SCÈNES À DISTANCE</w:t>
      </w:r>
    </w:p>
    <w:p w14:paraId="4E1AFFFF" w14:textId="77777777" w:rsidR="00BF02D1" w:rsidRDefault="00000000">
      <w:pPr>
        <w:widowControl w:val="0"/>
        <w:numPr>
          <w:ilvl w:val="0"/>
          <w:numId w:val="67"/>
        </w:numPr>
        <w:spacing w:before="400"/>
        <w:jc w:val="left"/>
        <w:rPr>
          <w:color w:val="131A45"/>
        </w:rPr>
      </w:pPr>
      <w:r>
        <w:rPr>
          <w:color w:val="131A45"/>
        </w:rPr>
        <w:t>Donner plus d’accès culturel aux personnes de communautés éloignées ou qui ne peuvent pas se déplacer; ainsi que donner accès à une œuvre à plusieurs lieux, villes ou pays en même temps, ce qui permet aussi des diffusions plus écoresponsables.</w:t>
      </w:r>
    </w:p>
    <w:p w14:paraId="4E1B0000" w14:textId="77777777" w:rsidR="00BF02D1" w:rsidRDefault="00000000">
      <w:pPr>
        <w:widowControl w:val="0"/>
        <w:numPr>
          <w:ilvl w:val="0"/>
          <w:numId w:val="67"/>
        </w:numPr>
        <w:jc w:val="left"/>
        <w:rPr>
          <w:color w:val="131A45"/>
        </w:rPr>
      </w:pPr>
      <w:r>
        <w:rPr>
          <w:color w:val="131A45"/>
        </w:rPr>
        <w:t>Offrir aux membres du public la possibilité de rester dans le confort de leur milieu de vie pour vivre leur expérience théâtrale. Ceci permet aux personnes participantes de faire une pause ou de quitter, au besoin.</w:t>
      </w:r>
    </w:p>
    <w:p w14:paraId="4E1B0001" w14:textId="77777777" w:rsidR="00BF02D1" w:rsidRDefault="00000000">
      <w:pPr>
        <w:widowControl w:val="0"/>
        <w:numPr>
          <w:ilvl w:val="0"/>
          <w:numId w:val="67"/>
        </w:numPr>
        <w:jc w:val="left"/>
        <w:rPr>
          <w:color w:val="131A45"/>
        </w:rPr>
      </w:pPr>
      <w:r>
        <w:rPr>
          <w:color w:val="131A45"/>
        </w:rPr>
        <w:t>Permettre aux spectatrices et spectateurs de garder agentivité et autorité sur les éléments qui entourent la représentation, comme l’éclairage et les bruits environnants, ainsi que de prioriser leur confort selon leurs besoins personnels sans devoir négocier avec les besoins des autres.</w:t>
      </w:r>
    </w:p>
    <w:p w14:paraId="4E1B0002" w14:textId="77777777" w:rsidR="00BF02D1" w:rsidRDefault="00000000">
      <w:pPr>
        <w:widowControl w:val="0"/>
        <w:numPr>
          <w:ilvl w:val="0"/>
          <w:numId w:val="67"/>
        </w:numPr>
        <w:jc w:val="left"/>
        <w:rPr>
          <w:color w:val="131A45"/>
        </w:rPr>
      </w:pPr>
      <w:r>
        <w:rPr>
          <w:color w:val="131A45"/>
        </w:rPr>
        <w:t xml:space="preserve">Vivre de nouveaux formats théâtraux, des écritures dramaturgiques renouvelées et des œuvres qui seraient impossibles à réaliser sur scène, ainsi que surprendre avec des types de création moins explorés. </w:t>
      </w:r>
    </w:p>
    <w:p w14:paraId="4E1B0003" w14:textId="77777777" w:rsidR="00BF02D1" w:rsidRDefault="00000000">
      <w:pPr>
        <w:widowControl w:val="0"/>
        <w:numPr>
          <w:ilvl w:val="0"/>
          <w:numId w:val="67"/>
        </w:numPr>
        <w:jc w:val="left"/>
        <w:rPr>
          <w:color w:val="131A45"/>
        </w:rPr>
      </w:pPr>
      <w:r>
        <w:rPr>
          <w:color w:val="131A45"/>
        </w:rPr>
        <w:t xml:space="preserve">Créer une intimité entre les interprètes et les membres du public, rendue possible grâce à certains modes de diffusion à distance, comme le téléphone. </w:t>
      </w:r>
    </w:p>
    <w:p w14:paraId="4E1B0004" w14:textId="77777777" w:rsidR="00BF02D1" w:rsidRDefault="00000000">
      <w:pPr>
        <w:widowControl w:val="0"/>
        <w:numPr>
          <w:ilvl w:val="0"/>
          <w:numId w:val="67"/>
        </w:numPr>
        <w:jc w:val="left"/>
        <w:rPr>
          <w:color w:val="131A45"/>
        </w:rPr>
      </w:pPr>
      <w:r>
        <w:rPr>
          <w:color w:val="131A45"/>
        </w:rPr>
        <w:t>Faciliter la participation éthique des membres du public en leur offrant l’anonymat dans leur interaction, comme cela est possible au téléphone ou sur les plateformes internet, et beaucoup moins facile en personne.</w:t>
      </w:r>
    </w:p>
    <w:p w14:paraId="4E1B0005" w14:textId="77777777" w:rsidR="00BF02D1" w:rsidRDefault="00000000">
      <w:pPr>
        <w:widowControl w:val="0"/>
        <w:numPr>
          <w:ilvl w:val="0"/>
          <w:numId w:val="67"/>
        </w:numPr>
        <w:jc w:val="left"/>
        <w:rPr>
          <w:color w:val="131A45"/>
        </w:rPr>
      </w:pPr>
      <w:r>
        <w:rPr>
          <w:color w:val="131A45"/>
        </w:rPr>
        <w:t xml:space="preserve">Accéder à l’autodiffusion plus facilement, dans certains cas, en tant que </w:t>
      </w:r>
      <w:r>
        <w:rPr>
          <w:color w:val="131A45"/>
        </w:rPr>
        <w:lastRenderedPageBreak/>
        <w:t xml:space="preserve">compagnie de création. En proposant des spectacles </w:t>
      </w:r>
      <w:proofErr w:type="gramStart"/>
      <w:r>
        <w:rPr>
          <w:color w:val="131A45"/>
        </w:rPr>
        <w:t>hors</w:t>
      </w:r>
      <w:proofErr w:type="gramEnd"/>
      <w:r>
        <w:rPr>
          <w:color w:val="131A45"/>
        </w:rPr>
        <w:t xml:space="preserve"> les salles, il n’est plus nécessaire d’attendre une place dans un lieu de diffusion. </w:t>
      </w:r>
    </w:p>
    <w:p w14:paraId="4E1B0006" w14:textId="77777777" w:rsidR="00BF02D1" w:rsidRDefault="00000000">
      <w:pPr>
        <w:pStyle w:val="Titre3"/>
      </w:pPr>
      <w:bookmarkStart w:id="38" w:name="_heading=h.41mghml" w:colFirst="0" w:colLast="0"/>
      <w:bookmarkEnd w:id="38"/>
      <w:r>
        <w:t>QU’EST-CE QUE LES SCÈNES PARALLÈLES ?</w:t>
      </w:r>
    </w:p>
    <w:p w14:paraId="4E1B0007" w14:textId="77777777" w:rsidR="00BF02D1" w:rsidRDefault="00000000">
      <w:pPr>
        <w:spacing w:before="400"/>
        <w:rPr>
          <w:color w:val="131A45"/>
        </w:rPr>
      </w:pPr>
      <w:r>
        <w:rPr>
          <w:color w:val="131A45"/>
        </w:rPr>
        <w:t>Les scènes parallèles constituent une forme d’arts vivants à distance qui propose une double diffusion du même spectacle à travers deux scènes autonomes et différentes, qui se déroulent en même temps.</w:t>
      </w:r>
    </w:p>
    <w:p w14:paraId="4E1B0008" w14:textId="77777777" w:rsidR="00BF02D1" w:rsidRDefault="00000000">
      <w:pPr>
        <w:rPr>
          <w:color w:val="131A45"/>
        </w:rPr>
      </w:pPr>
      <w:r>
        <w:rPr>
          <w:color w:val="131A45"/>
        </w:rPr>
        <w:t>Un exemple de scène parallèle : une représentation de théâtre dans un lieu de diffusion aussi accessible avec une radiodiffusion, les deux volets partageant en partie le même texte, ainsi que les mêmes comédiennes et comédiens.</w:t>
      </w:r>
    </w:p>
    <w:p w14:paraId="4E1B0009" w14:textId="77777777" w:rsidR="00BF02D1" w:rsidRDefault="00000000">
      <w:pPr>
        <w:widowControl w:val="0"/>
        <w:spacing w:before="400"/>
        <w:jc w:val="left"/>
        <w:rPr>
          <w:color w:val="131A45"/>
        </w:rPr>
      </w:pPr>
      <w:r>
        <w:rPr>
          <w:color w:val="131A45"/>
        </w:rPr>
        <w:t>L’idée des scènes parallèles est un concept que nous avons développé dès 2021 à partir de notre travail à Théâtre Déchaînés, en s’appuyant sur nos réflexions sur l’accessibilité créative. Les scènes parallèles prennent appui sur le concept des « scènes sans bord » (2016) du groupe de la Dramaturgie sonore, qui sont des scènes dont les limites physiques se déploient pour disparaître au profit de modes de diffusion hors les murs des théâtres.</w:t>
      </w:r>
    </w:p>
    <w:p w14:paraId="4E1B000A" w14:textId="77777777" w:rsidR="00BF02D1" w:rsidRDefault="00000000">
      <w:pPr>
        <w:widowControl w:val="0"/>
        <w:spacing w:before="400"/>
        <w:jc w:val="left"/>
        <w:rPr>
          <w:color w:val="131A45"/>
        </w:rPr>
      </w:pPr>
      <w:r>
        <w:rPr>
          <w:color w:val="131A45"/>
        </w:rPr>
        <w:t>Les scènes parallèles impliquent :</w:t>
      </w:r>
    </w:p>
    <w:p w14:paraId="4E1B000B" w14:textId="77777777" w:rsidR="00BF02D1" w:rsidRDefault="00000000">
      <w:pPr>
        <w:widowControl w:val="0"/>
        <w:numPr>
          <w:ilvl w:val="0"/>
          <w:numId w:val="7"/>
        </w:numPr>
        <w:jc w:val="left"/>
        <w:rPr>
          <w:color w:val="131A45"/>
        </w:rPr>
      </w:pPr>
      <w:r>
        <w:rPr>
          <w:color w:val="131A45"/>
        </w:rPr>
        <w:t xml:space="preserve">Un grand nombre de combinaisons possibles, souvent pensées pour allier une représentation en salle avec une à distance. </w:t>
      </w:r>
    </w:p>
    <w:p w14:paraId="4E1B000C" w14:textId="77777777" w:rsidR="00BF02D1" w:rsidRDefault="00000000">
      <w:pPr>
        <w:widowControl w:val="0"/>
        <w:numPr>
          <w:ilvl w:val="0"/>
          <w:numId w:val="7"/>
        </w:numPr>
        <w:jc w:val="left"/>
        <w:rPr>
          <w:color w:val="131A45"/>
        </w:rPr>
      </w:pPr>
      <w:r>
        <w:rPr>
          <w:color w:val="131A45"/>
        </w:rPr>
        <w:t xml:space="preserve">Un mode de diffusion propre à chaque scène parallèle qui est pensée, écrite et mise en scène de façon indépendante, permettant ainsi aux créatrices et créateurs de réfléchir à des spécificités qui seraient impossibles à réaliser dans un autre format de diffusion. Chaque scène nécessite donc sa propre écriture du spectacle. </w:t>
      </w:r>
    </w:p>
    <w:p w14:paraId="4E1B000D" w14:textId="77777777" w:rsidR="00BF02D1" w:rsidRDefault="00000000">
      <w:pPr>
        <w:widowControl w:val="0"/>
        <w:numPr>
          <w:ilvl w:val="0"/>
          <w:numId w:val="7"/>
        </w:numPr>
        <w:jc w:val="left"/>
        <w:rPr>
          <w:color w:val="131A45"/>
        </w:rPr>
      </w:pPr>
      <w:r>
        <w:rPr>
          <w:color w:val="131A45"/>
        </w:rPr>
        <w:t xml:space="preserve">Une interdépendance entre les deux scènes. Elles partagent d’ailleurs de nombreux éléments artistiques et de contenu. </w:t>
      </w:r>
    </w:p>
    <w:p w14:paraId="4E1B000E" w14:textId="77777777" w:rsidR="00BF02D1" w:rsidRDefault="00000000">
      <w:pPr>
        <w:widowControl w:val="0"/>
        <w:numPr>
          <w:ilvl w:val="0"/>
          <w:numId w:val="7"/>
        </w:numPr>
        <w:jc w:val="left"/>
        <w:rPr>
          <w:color w:val="131A45"/>
        </w:rPr>
      </w:pPr>
      <w:r>
        <w:rPr>
          <w:color w:val="131A45"/>
        </w:rPr>
        <w:t xml:space="preserve">Pour respecter l’essence des arts vivants, des scènes qui sont jouées </w:t>
      </w:r>
      <w:r>
        <w:rPr>
          <w:rFonts w:ascii="Lexend SemiBold" w:eastAsia="Lexend SemiBold" w:hAnsi="Lexend SemiBold" w:cs="Lexend SemiBold"/>
          <w:color w:val="131A45"/>
        </w:rPr>
        <w:t xml:space="preserve">en direct </w:t>
      </w:r>
      <w:r>
        <w:rPr>
          <w:rFonts w:ascii="Lexend SemiBold" w:eastAsia="Lexend SemiBold" w:hAnsi="Lexend SemiBold" w:cs="Lexend SemiBold"/>
          <w:color w:val="131A45"/>
        </w:rPr>
        <w:lastRenderedPageBreak/>
        <w:t>et parallèlement</w:t>
      </w:r>
      <w:r>
        <w:rPr>
          <w:color w:val="131A45"/>
        </w:rPr>
        <w:t xml:space="preserve"> pour au moins une ou un membre de public et par une ou un artiste scénique.</w:t>
      </w:r>
    </w:p>
    <w:p w14:paraId="4E1B000F" w14:textId="77777777" w:rsidR="00BF02D1" w:rsidRDefault="00000000">
      <w:pPr>
        <w:widowControl w:val="0"/>
        <w:numPr>
          <w:ilvl w:val="0"/>
          <w:numId w:val="7"/>
        </w:numPr>
        <w:jc w:val="left"/>
        <w:rPr>
          <w:color w:val="131A45"/>
        </w:rPr>
      </w:pPr>
      <w:r>
        <w:rPr>
          <w:color w:val="131A45"/>
        </w:rPr>
        <w:t xml:space="preserve">Un processus de création simultané des deux scènes : une n’est pas plus importante que l’autre, et chacune répond à des besoins d’accessibilité précis à son espace de diffusion. Le but est que le théâtre à distance ne copie pas simplement ce qui est présenté sur scène. </w:t>
      </w:r>
    </w:p>
    <w:p w14:paraId="4E1B0010" w14:textId="77777777" w:rsidR="00BF02D1" w:rsidRDefault="00000000">
      <w:pPr>
        <w:widowControl w:val="0"/>
        <w:numPr>
          <w:ilvl w:val="0"/>
          <w:numId w:val="7"/>
        </w:numPr>
        <w:jc w:val="left"/>
        <w:rPr>
          <w:color w:val="131A45"/>
        </w:rPr>
      </w:pPr>
      <w:r>
        <w:rPr>
          <w:color w:val="131A45"/>
        </w:rPr>
        <w:t>Deux expériences différentes qui peuvent être vécues par la même personne lors de représentations séparées, permettant de vivre le même spectacle de deux manières.</w:t>
      </w:r>
    </w:p>
    <w:p w14:paraId="4E1B0011" w14:textId="77777777" w:rsidR="00BF02D1" w:rsidRDefault="00000000">
      <w:pPr>
        <w:pStyle w:val="Titre3"/>
      </w:pPr>
      <w:bookmarkStart w:id="39" w:name="_heading=h.2grqrue" w:colFirst="0" w:colLast="0"/>
      <w:bookmarkEnd w:id="39"/>
      <w:r>
        <w:t>LES AVANTAGES DES SCÈNES PARALLÈLES</w:t>
      </w:r>
    </w:p>
    <w:p w14:paraId="4E1B0012" w14:textId="77777777" w:rsidR="00BF02D1" w:rsidRDefault="00000000">
      <w:pPr>
        <w:widowControl w:val="0"/>
        <w:spacing w:before="400"/>
        <w:jc w:val="left"/>
        <w:rPr>
          <w:color w:val="131A45"/>
        </w:rPr>
      </w:pPr>
      <w:r>
        <w:rPr>
          <w:color w:val="131A45"/>
        </w:rPr>
        <w:t>En plus des nombreux avantages des scènes à distance, les scènes parallèles :</w:t>
      </w:r>
    </w:p>
    <w:p w14:paraId="4E1B0013" w14:textId="77777777" w:rsidR="00BF02D1" w:rsidRDefault="00000000">
      <w:pPr>
        <w:widowControl w:val="0"/>
        <w:numPr>
          <w:ilvl w:val="0"/>
          <w:numId w:val="12"/>
        </w:numPr>
        <w:spacing w:before="400"/>
        <w:jc w:val="left"/>
        <w:rPr>
          <w:color w:val="131A45"/>
        </w:rPr>
      </w:pPr>
      <w:r>
        <w:rPr>
          <w:color w:val="131A45"/>
        </w:rPr>
        <w:t xml:space="preserve">Permettent de faire vivre plusieurs expériences différentes à travers la même œuvre d’art. </w:t>
      </w:r>
    </w:p>
    <w:p w14:paraId="4E1B0014" w14:textId="77777777" w:rsidR="00BF02D1" w:rsidRDefault="00000000">
      <w:pPr>
        <w:widowControl w:val="0"/>
        <w:numPr>
          <w:ilvl w:val="0"/>
          <w:numId w:val="12"/>
        </w:numPr>
        <w:jc w:val="left"/>
        <w:rPr>
          <w:color w:val="131A45"/>
        </w:rPr>
      </w:pPr>
      <w:r>
        <w:rPr>
          <w:color w:val="131A45"/>
        </w:rPr>
        <w:t xml:space="preserve">Permettent de couvrir plusieurs besoins d’accessibilité en même temps, chaque scène pouvant se concentrer sur différents défis d’accès.  </w:t>
      </w:r>
    </w:p>
    <w:p w14:paraId="4E1B0015" w14:textId="77777777" w:rsidR="00BF02D1" w:rsidRDefault="00000000">
      <w:pPr>
        <w:widowControl w:val="0"/>
        <w:numPr>
          <w:ilvl w:val="0"/>
          <w:numId w:val="12"/>
        </w:numPr>
        <w:jc w:val="left"/>
        <w:rPr>
          <w:color w:val="131A45"/>
        </w:rPr>
      </w:pPr>
      <w:r>
        <w:rPr>
          <w:color w:val="131A45"/>
        </w:rPr>
        <w:t xml:space="preserve">Offrent un terrain de jeu formidable pour allier accessibilité et exploration artistique.  </w:t>
      </w:r>
    </w:p>
    <w:p w14:paraId="4E1B0016" w14:textId="77777777" w:rsidR="00BF02D1" w:rsidRDefault="00000000">
      <w:pPr>
        <w:widowControl w:val="0"/>
        <w:numPr>
          <w:ilvl w:val="0"/>
          <w:numId w:val="12"/>
        </w:numPr>
        <w:jc w:val="left"/>
        <w:rPr>
          <w:color w:val="131A45"/>
        </w:rPr>
      </w:pPr>
      <w:r>
        <w:rPr>
          <w:color w:val="131A45"/>
        </w:rPr>
        <w:t xml:space="preserve">Ouvrent des portes, du côté de la création, à des rencontres entre des personnes spécialisées d’autres secteurs, comme celui des technologies. </w:t>
      </w:r>
    </w:p>
    <w:p w14:paraId="4E1B0017" w14:textId="77777777" w:rsidR="00BF02D1" w:rsidRDefault="00000000">
      <w:pPr>
        <w:widowControl w:val="0"/>
        <w:numPr>
          <w:ilvl w:val="0"/>
          <w:numId w:val="12"/>
        </w:numPr>
        <w:jc w:val="left"/>
        <w:rPr>
          <w:color w:val="131A45"/>
        </w:rPr>
      </w:pPr>
      <w:r>
        <w:rPr>
          <w:color w:val="131A45"/>
        </w:rPr>
        <w:t>Donnent l’occasion de développer et d’explorer des éléments technologiques sur scène. Cela permet aussi d'être plus inclusif dans les équipes, donnant souvent l’occasion à des fonctionnements de travail à distance et à l’écoute des besoins des personnes impliquées.</w:t>
      </w:r>
    </w:p>
    <w:p w14:paraId="4E1B0018" w14:textId="77777777" w:rsidR="00BF02D1" w:rsidRDefault="00000000">
      <w:pPr>
        <w:pStyle w:val="Titre3"/>
      </w:pPr>
      <w:bookmarkStart w:id="40" w:name="_heading=h.vx1227" w:colFirst="0" w:colLast="0"/>
      <w:bookmarkEnd w:id="40"/>
      <w:r>
        <w:lastRenderedPageBreak/>
        <w:t>LES DÉFIS DES SCÈNES PARALLÈLES</w:t>
      </w:r>
    </w:p>
    <w:p w14:paraId="4E1B0019" w14:textId="77777777" w:rsidR="00BF02D1" w:rsidRDefault="00000000">
      <w:pPr>
        <w:widowControl w:val="0"/>
        <w:spacing w:before="400"/>
        <w:jc w:val="left"/>
        <w:rPr>
          <w:color w:val="131A45"/>
        </w:rPr>
      </w:pPr>
      <w:r>
        <w:rPr>
          <w:color w:val="131A45"/>
        </w:rPr>
        <w:t xml:space="preserve">Les scènes parallèles apportent leur lot de défis, qu’il ne faut pas non plus négliger, mais que l’on peut facilement surmonter si on les prévoit. </w:t>
      </w:r>
    </w:p>
    <w:p w14:paraId="4E1B001A" w14:textId="77777777" w:rsidR="00BF02D1" w:rsidRDefault="00000000">
      <w:pPr>
        <w:widowControl w:val="0"/>
        <w:numPr>
          <w:ilvl w:val="0"/>
          <w:numId w:val="19"/>
        </w:numPr>
        <w:spacing w:before="400"/>
        <w:jc w:val="left"/>
        <w:rPr>
          <w:color w:val="131A45"/>
        </w:rPr>
      </w:pPr>
      <w:r>
        <w:rPr>
          <w:color w:val="131A45"/>
        </w:rPr>
        <w:t>Cela demande du temps de travail supplémentaire au niveau de la recherche et de la création.</w:t>
      </w:r>
    </w:p>
    <w:p w14:paraId="4E1B001B" w14:textId="77777777" w:rsidR="00BF02D1" w:rsidRDefault="00000000">
      <w:pPr>
        <w:widowControl w:val="0"/>
        <w:numPr>
          <w:ilvl w:val="0"/>
          <w:numId w:val="19"/>
        </w:numPr>
        <w:jc w:val="left"/>
        <w:rPr>
          <w:color w:val="131A45"/>
        </w:rPr>
      </w:pPr>
      <w:r>
        <w:rPr>
          <w:color w:val="131A45"/>
        </w:rPr>
        <w:t>Il faut prévoir plus de ressources humaines, car la double tâche ne peut pas toujours être réalisée par les mêmes personnes.</w:t>
      </w:r>
    </w:p>
    <w:p w14:paraId="4E1B001C" w14:textId="77777777" w:rsidR="00BF02D1" w:rsidRDefault="00000000">
      <w:pPr>
        <w:widowControl w:val="0"/>
        <w:numPr>
          <w:ilvl w:val="0"/>
          <w:numId w:val="19"/>
        </w:numPr>
        <w:jc w:val="left"/>
        <w:rPr>
          <w:color w:val="131A45"/>
        </w:rPr>
      </w:pPr>
      <w:r>
        <w:rPr>
          <w:color w:val="131A45"/>
        </w:rPr>
        <w:t xml:space="preserve">Inévitablement, cela augmente les frais de production; plus de gens à payer, de matériel et de temps de travail sont nécessaires. </w:t>
      </w:r>
    </w:p>
    <w:p w14:paraId="4E1B001D" w14:textId="77777777" w:rsidR="00BF02D1" w:rsidRDefault="00000000">
      <w:pPr>
        <w:widowControl w:val="0"/>
        <w:numPr>
          <w:ilvl w:val="0"/>
          <w:numId w:val="19"/>
        </w:numPr>
        <w:jc w:val="left"/>
        <w:rPr>
          <w:color w:val="131A45"/>
        </w:rPr>
      </w:pPr>
      <w:r>
        <w:rPr>
          <w:color w:val="131A45"/>
        </w:rPr>
        <w:t xml:space="preserve">Il faut trouver des conceptrices et concepteurs spécialisés dans certains domaines ou des personnes à la conception qui ont la volonté d’explorer. </w:t>
      </w:r>
    </w:p>
    <w:p w14:paraId="4E1B001E" w14:textId="77777777" w:rsidR="00BF02D1" w:rsidRDefault="00000000">
      <w:pPr>
        <w:widowControl w:val="0"/>
        <w:numPr>
          <w:ilvl w:val="0"/>
          <w:numId w:val="19"/>
        </w:numPr>
        <w:jc w:val="left"/>
        <w:rPr>
          <w:color w:val="131A45"/>
        </w:rPr>
      </w:pPr>
      <w:r>
        <w:rPr>
          <w:color w:val="131A45"/>
        </w:rPr>
        <w:t xml:space="preserve">Il faut arrimer l’écriture de deux scènes en simultané, ce qui introduit le défi d’éviter les temps flottants et les temps d’attente sur l’une ou l’autre, compte tenu des besoins particuliers de chaque scène. </w:t>
      </w:r>
    </w:p>
    <w:p w14:paraId="4E1B001F" w14:textId="77777777" w:rsidR="00BF02D1" w:rsidRDefault="00000000">
      <w:pPr>
        <w:widowControl w:val="0"/>
        <w:numPr>
          <w:ilvl w:val="0"/>
          <w:numId w:val="19"/>
        </w:numPr>
        <w:jc w:val="left"/>
        <w:rPr>
          <w:color w:val="131A45"/>
        </w:rPr>
      </w:pPr>
      <w:r>
        <w:rPr>
          <w:color w:val="131A45"/>
        </w:rPr>
        <w:t xml:space="preserve">Il y a souvent des technologies à prévoir sur le plateau et il est important de bien les intégrer pour aller au-delà de l’effet sans substance. </w:t>
      </w:r>
    </w:p>
    <w:p w14:paraId="4E1B0020" w14:textId="77777777" w:rsidR="00BF02D1" w:rsidRDefault="00000000">
      <w:pPr>
        <w:widowControl w:val="0"/>
        <w:numPr>
          <w:ilvl w:val="0"/>
          <w:numId w:val="19"/>
        </w:numPr>
        <w:jc w:val="left"/>
        <w:rPr>
          <w:color w:val="131A45"/>
        </w:rPr>
      </w:pPr>
      <w:r>
        <w:rPr>
          <w:color w:val="131A45"/>
        </w:rPr>
        <w:t xml:space="preserve">Il est tentant de consacrer beaucoup d’énergie sur une des deux scènes, en laissant de côté ou en ne faisant que le strict minimum pour l’autre. </w:t>
      </w:r>
    </w:p>
    <w:p w14:paraId="4E1B0021" w14:textId="77777777" w:rsidR="00BF02D1" w:rsidRDefault="00000000">
      <w:pPr>
        <w:widowControl w:val="0"/>
        <w:spacing w:before="600"/>
        <w:jc w:val="left"/>
        <w:rPr>
          <w:color w:val="131A45"/>
        </w:rPr>
      </w:pPr>
      <w:r>
        <w:rPr>
          <w:color w:val="131A45"/>
        </w:rPr>
        <w:t xml:space="preserve">Nous croyons sincèrement que les scènes à distance ont un potentiel d’accessibilité important pour rejoindre un très grand nombre de personnes, et que ce potentiel va bien au-delà d’une réponse à des restrictions sanitaires comme vécu en temps de pandémie. </w:t>
      </w:r>
    </w:p>
    <w:p w14:paraId="4E1B0022" w14:textId="77777777" w:rsidR="00BF02D1" w:rsidRDefault="00000000">
      <w:pPr>
        <w:spacing w:before="400"/>
        <w:jc w:val="left"/>
        <w:rPr>
          <w:color w:val="131A45"/>
          <w:u w:val="single"/>
        </w:rPr>
      </w:pPr>
      <w:r>
        <w:rPr>
          <w:color w:val="131A45"/>
        </w:rPr>
        <w:t xml:space="preserve">Pour continuer cette réflexion, nous vous invitons à lire notre texte d’opinion publié en 2021 sur le site web de la revue JEU : </w:t>
      </w:r>
      <w:hyperlink r:id="rId18">
        <w:r w:rsidR="00BF02D1">
          <w:rPr>
            <w:i/>
            <w:color w:val="131A45"/>
            <w:u w:val="single"/>
          </w:rPr>
          <w:t>Le théâtre numérique, pas seulement une réponse à la pandémie</w:t>
        </w:r>
      </w:hyperlink>
      <w:r>
        <w:rPr>
          <w:color w:val="131A45"/>
        </w:rPr>
        <w:t>.</w:t>
      </w:r>
    </w:p>
    <w:p w14:paraId="4E1B0023" w14:textId="77777777" w:rsidR="00BF02D1" w:rsidRDefault="00000000">
      <w:pPr>
        <w:pStyle w:val="Titre2"/>
      </w:pPr>
      <w:bookmarkStart w:id="41" w:name="_heading=h.3fwokq0" w:colFirst="0" w:colLast="0"/>
      <w:bookmarkEnd w:id="41"/>
      <w:r>
        <w:rPr>
          <w:noProof/>
        </w:rPr>
        <w:lastRenderedPageBreak/>
        <w:drawing>
          <wp:anchor distT="0" distB="0" distL="0" distR="0" simplePos="0" relativeHeight="251687936" behindDoc="1" locked="0" layoutInCell="1" hidden="0" allowOverlap="1" wp14:anchorId="4E1B0135" wp14:editId="08CC9FB2">
            <wp:simplePos x="0" y="0"/>
            <wp:positionH relativeFrom="page">
              <wp:posOffset>3352165</wp:posOffset>
            </wp:positionH>
            <wp:positionV relativeFrom="page">
              <wp:posOffset>707862</wp:posOffset>
            </wp:positionV>
            <wp:extent cx="4492869" cy="600075"/>
            <wp:effectExtent l="0" t="0" r="3175" b="0"/>
            <wp:wrapNone/>
            <wp:docPr id="130602834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492869" cy="600075"/>
                    </a:xfrm>
                    <a:prstGeom prst="rect">
                      <a:avLst/>
                    </a:prstGeom>
                    <a:ln/>
                  </pic:spPr>
                </pic:pic>
              </a:graphicData>
            </a:graphic>
          </wp:anchor>
        </w:drawing>
      </w:r>
      <w:r>
        <w:t>Bonnes pratiques en création</w:t>
      </w:r>
    </w:p>
    <w:p w14:paraId="4E1B0024" w14:textId="77777777" w:rsidR="00BF02D1" w:rsidRDefault="00000000">
      <w:pPr>
        <w:widowControl w:val="0"/>
        <w:jc w:val="left"/>
        <w:rPr>
          <w:color w:val="131A45"/>
        </w:rPr>
      </w:pPr>
      <w:r>
        <w:rPr>
          <w:color w:val="131A45"/>
        </w:rPr>
        <w:t xml:space="preserve">Travailler l’accessibilité créative vise aussi à transformer les conditions de travail des arts vivants en rendant son processus le plus accessible et inclusif possible. </w:t>
      </w:r>
    </w:p>
    <w:p w14:paraId="4E1B0025" w14:textId="77777777" w:rsidR="00BF02D1" w:rsidRDefault="00000000">
      <w:pPr>
        <w:widowControl w:val="0"/>
        <w:spacing w:before="400"/>
        <w:jc w:val="left"/>
        <w:rPr>
          <w:color w:val="131A45"/>
        </w:rPr>
      </w:pPr>
      <w:r>
        <w:rPr>
          <w:color w:val="131A45"/>
        </w:rPr>
        <w:t>Voici une base de pratiques concrètes qui peuvent être intégrées dans chacun de vos projets afin de les rendre d’emblée plus accueillants.</w:t>
      </w:r>
    </w:p>
    <w:p w14:paraId="4E1B0026" w14:textId="77777777" w:rsidR="00BF02D1" w:rsidRDefault="00000000">
      <w:pPr>
        <w:pStyle w:val="Titre3"/>
        <w:widowControl w:val="0"/>
        <w:spacing w:before="600"/>
        <w:jc w:val="left"/>
      </w:pPr>
      <w:bookmarkStart w:id="42" w:name="_heading=h.1v1yuxt" w:colFirst="0" w:colLast="0"/>
      <w:bookmarkEnd w:id="42"/>
      <w:r>
        <w:t>Utilisez un devis d’accessibilité pour vos équipes</w:t>
      </w:r>
    </w:p>
    <w:p w14:paraId="4E1B0027" w14:textId="77777777" w:rsidR="00BF02D1" w:rsidRDefault="00000000">
      <w:pPr>
        <w:widowControl w:val="0"/>
        <w:numPr>
          <w:ilvl w:val="0"/>
          <w:numId w:val="61"/>
        </w:numPr>
        <w:spacing w:before="400" w:after="240"/>
        <w:jc w:val="left"/>
        <w:rPr>
          <w:color w:val="131A45"/>
        </w:rPr>
      </w:pPr>
      <w:r>
        <w:rPr>
          <w:color w:val="131A45"/>
        </w:rPr>
        <w:t xml:space="preserve">Un devis d’accessibilité est un formulaire pour comprendre les divers besoins et préférences d’accès d’une personne afin d’adapter au maximum les conditions de travail offertes. </w:t>
      </w:r>
    </w:p>
    <w:p w14:paraId="4E1B0028" w14:textId="77777777" w:rsidR="00BF02D1" w:rsidRDefault="00000000">
      <w:pPr>
        <w:widowControl w:val="0"/>
        <w:numPr>
          <w:ilvl w:val="0"/>
          <w:numId w:val="61"/>
        </w:numPr>
        <w:spacing w:after="240"/>
        <w:jc w:val="left"/>
        <w:rPr>
          <w:color w:val="131A45"/>
        </w:rPr>
      </w:pPr>
      <w:r>
        <w:rPr>
          <w:color w:val="131A45"/>
        </w:rPr>
        <w:t xml:space="preserve">C’est un outil dans un cadre professionnel qui permet aux personnes de communiquer leurs besoins spécifiques, comme la présence d’interprètes en langue des signes québécoise. </w:t>
      </w:r>
    </w:p>
    <w:p w14:paraId="4E1B0029" w14:textId="77777777" w:rsidR="00BF02D1" w:rsidRDefault="00000000">
      <w:pPr>
        <w:widowControl w:val="0"/>
        <w:numPr>
          <w:ilvl w:val="0"/>
          <w:numId w:val="61"/>
        </w:numPr>
        <w:spacing w:before="0" w:after="240"/>
        <w:jc w:val="left"/>
        <w:rPr>
          <w:color w:val="131A45"/>
        </w:rPr>
      </w:pPr>
      <w:r>
        <w:rPr>
          <w:color w:val="131A45"/>
        </w:rPr>
        <w:t xml:space="preserve">Le devis d’accessibilité va au-delà d’un outil spécifiquement ciblé pour l'accueil de collaboratrices ou de collaborateurs dits de la diversité fonctionnelle : tout le monde a des préférences, besoins et réalités qui méritent d’être entendus. </w:t>
      </w:r>
    </w:p>
    <w:p w14:paraId="4E1B002A" w14:textId="77777777" w:rsidR="00BF02D1" w:rsidRDefault="00000000">
      <w:pPr>
        <w:widowControl w:val="0"/>
        <w:numPr>
          <w:ilvl w:val="0"/>
          <w:numId w:val="61"/>
        </w:numPr>
        <w:spacing w:before="0" w:after="240"/>
        <w:jc w:val="left"/>
        <w:rPr>
          <w:color w:val="131A45"/>
        </w:rPr>
      </w:pPr>
      <w:r>
        <w:rPr>
          <w:color w:val="131A45"/>
        </w:rPr>
        <w:t xml:space="preserve">Utiliser un devis d’accessibilité ne doit pas satisfaire seulement les apparences : c’est un engagement à essayer, le plus possible, de prendre en compte les besoins nommés. </w:t>
      </w:r>
    </w:p>
    <w:p w14:paraId="4E1B002B" w14:textId="77777777" w:rsidR="00BF02D1" w:rsidRDefault="00000000">
      <w:pPr>
        <w:widowControl w:val="0"/>
        <w:numPr>
          <w:ilvl w:val="0"/>
          <w:numId w:val="61"/>
        </w:numPr>
        <w:spacing w:before="0" w:after="240"/>
        <w:jc w:val="left"/>
        <w:rPr>
          <w:color w:val="131A45"/>
        </w:rPr>
      </w:pPr>
      <w:r>
        <w:rPr>
          <w:color w:val="131A45"/>
        </w:rPr>
        <w:t xml:space="preserve">Il est parfois impossible de combler tous les besoins spécifiés, surtout au niveau de l’horaire et de l’échéancier, où les demandes sont souvent conflictuelles. Il est important de prendre le temps de discuter avec les personnes concernées pour qu’elles soient impliquées pour trouver les meilleures solutions possibles. </w:t>
      </w:r>
    </w:p>
    <w:p w14:paraId="4E1B002C" w14:textId="77777777" w:rsidR="00BF02D1" w:rsidRDefault="00000000">
      <w:pPr>
        <w:widowControl w:val="0"/>
        <w:numPr>
          <w:ilvl w:val="0"/>
          <w:numId w:val="61"/>
        </w:numPr>
        <w:spacing w:before="0" w:after="240"/>
        <w:jc w:val="left"/>
        <w:rPr>
          <w:color w:val="131A45"/>
        </w:rPr>
      </w:pPr>
      <w:r>
        <w:rPr>
          <w:color w:val="131A45"/>
        </w:rPr>
        <w:t>Vous pouvez aussi consulter l’</w:t>
      </w:r>
      <w:hyperlink w:anchor="_heading=h.1664s55">
        <w:r w:rsidR="00BF02D1">
          <w:rPr>
            <w:i/>
            <w:color w:val="131A45"/>
            <w:u w:val="single"/>
          </w:rPr>
          <w:t>Annexe 2 - Devis d’accessibilité</w:t>
        </w:r>
      </w:hyperlink>
      <w:r>
        <w:rPr>
          <w:i/>
          <w:color w:val="131A45"/>
        </w:rPr>
        <w:t xml:space="preserve"> </w:t>
      </w:r>
      <w:r>
        <w:rPr>
          <w:color w:val="131A45"/>
        </w:rPr>
        <w:t>pour voir des exemples de questions que nous utilisons dans notre devis d’accessibilité.</w:t>
      </w:r>
    </w:p>
    <w:p w14:paraId="4E1B002D" w14:textId="77777777" w:rsidR="00BF02D1" w:rsidRDefault="00000000">
      <w:pPr>
        <w:pStyle w:val="Titre3"/>
        <w:spacing w:before="0"/>
      </w:pPr>
      <w:bookmarkStart w:id="43" w:name="_heading=h.4f1mdlm" w:colFirst="0" w:colLast="0"/>
      <w:bookmarkEnd w:id="43"/>
      <w:r>
        <w:lastRenderedPageBreak/>
        <w:t>Réfléchissez aux conditions de travail offertes dans vos processus</w:t>
      </w:r>
    </w:p>
    <w:p w14:paraId="4E1B002E" w14:textId="77777777" w:rsidR="00BF02D1" w:rsidRDefault="00000000">
      <w:pPr>
        <w:numPr>
          <w:ilvl w:val="0"/>
          <w:numId w:val="38"/>
        </w:numPr>
        <w:spacing w:before="400"/>
        <w:rPr>
          <w:color w:val="131A45"/>
        </w:rPr>
      </w:pPr>
      <w:r>
        <w:rPr>
          <w:color w:val="131A45"/>
        </w:rPr>
        <w:t>L’accessibilité créative vise des conditions de travail confortables, mais surtout équitables pour chaque personne.</w:t>
      </w:r>
    </w:p>
    <w:p w14:paraId="4E1B002F" w14:textId="77777777" w:rsidR="00BF02D1" w:rsidRDefault="00000000">
      <w:pPr>
        <w:widowControl w:val="0"/>
        <w:numPr>
          <w:ilvl w:val="0"/>
          <w:numId w:val="38"/>
        </w:numPr>
        <w:spacing w:after="200"/>
        <w:jc w:val="left"/>
        <w:rPr>
          <w:color w:val="131A45"/>
        </w:rPr>
      </w:pPr>
      <w:r>
        <w:rPr>
          <w:color w:val="131A45"/>
        </w:rPr>
        <w:t>Il n’est en aucun cas éthique ni acceptable de sous-payer des collaboratrices ou collaborateurs dits de la diversité fonctionnelle sous prétexte qu’on leur donne une chance ou qu’on doive rationner le budget alloué aux adaptations.</w:t>
      </w:r>
    </w:p>
    <w:p w14:paraId="4E1B0030" w14:textId="77777777" w:rsidR="00BF02D1" w:rsidRDefault="00000000">
      <w:pPr>
        <w:widowControl w:val="0"/>
        <w:numPr>
          <w:ilvl w:val="0"/>
          <w:numId w:val="38"/>
        </w:numPr>
        <w:spacing w:before="0" w:after="200"/>
        <w:jc w:val="left"/>
        <w:rPr>
          <w:color w:val="131A45"/>
        </w:rPr>
      </w:pPr>
      <w:r>
        <w:rPr>
          <w:color w:val="131A45"/>
        </w:rPr>
        <w:t>Il n’est d’aucune manière envisageable que ce soit à la personne dite de la diversité fonctionnelle de s’adapter au reste de l’équipe sans qu’un plan d’accessibilité ait été mis en place.</w:t>
      </w:r>
    </w:p>
    <w:p w14:paraId="4E1B0031" w14:textId="77777777" w:rsidR="00BF02D1" w:rsidRDefault="00000000">
      <w:pPr>
        <w:widowControl w:val="0"/>
        <w:numPr>
          <w:ilvl w:val="0"/>
          <w:numId w:val="38"/>
        </w:numPr>
        <w:spacing w:before="0" w:after="200"/>
        <w:jc w:val="left"/>
        <w:rPr>
          <w:color w:val="131A45"/>
        </w:rPr>
      </w:pPr>
      <w:r>
        <w:rPr>
          <w:color w:val="131A45"/>
        </w:rPr>
        <w:t>On se doit d’ouvrir les discussions et d’être à l’écoute. On a le droit de se tromper, mais c’est important d'utiliser les gestes réparateurs lorsque nécessaire.</w:t>
      </w:r>
    </w:p>
    <w:p w14:paraId="4E1B0032" w14:textId="77777777" w:rsidR="00BF02D1" w:rsidRDefault="00000000">
      <w:pPr>
        <w:pStyle w:val="Titre3"/>
        <w:widowControl w:val="0"/>
        <w:jc w:val="left"/>
      </w:pPr>
      <w:bookmarkStart w:id="44" w:name="_heading=h.2u6wntf" w:colFirst="0" w:colLast="0"/>
      <w:bookmarkEnd w:id="44"/>
      <w:r>
        <w:t>Respectez les trois dimensions du design inclusif (</w:t>
      </w:r>
      <w:proofErr w:type="spellStart"/>
      <w:r w:rsidRPr="00C23744">
        <w:t>Treviranus</w:t>
      </w:r>
      <w:proofErr w:type="spellEnd"/>
      <w:r>
        <w:t xml:space="preserve">, 2018) </w:t>
      </w:r>
    </w:p>
    <w:p w14:paraId="4E1B0033" w14:textId="77777777" w:rsidR="00BF02D1" w:rsidRDefault="00000000">
      <w:pPr>
        <w:numPr>
          <w:ilvl w:val="0"/>
          <w:numId w:val="20"/>
        </w:numPr>
        <w:spacing w:before="400"/>
      </w:pPr>
      <w:r>
        <w:t xml:space="preserve">Ces recommandations, qui peuvent ensuite </w:t>
      </w:r>
      <w:proofErr w:type="spellStart"/>
      <w:proofErr w:type="gramStart"/>
      <w:r>
        <w:t>êtres</w:t>
      </w:r>
      <w:proofErr w:type="spellEnd"/>
      <w:r>
        <w:t xml:space="preserve"> adaptées</w:t>
      </w:r>
      <w:proofErr w:type="gramEnd"/>
      <w:r>
        <w:t xml:space="preserve"> à votre situation, sont de : </w:t>
      </w:r>
    </w:p>
    <w:p w14:paraId="4E1B0034" w14:textId="77777777" w:rsidR="00BF02D1" w:rsidRDefault="00000000">
      <w:pPr>
        <w:numPr>
          <w:ilvl w:val="1"/>
          <w:numId w:val="20"/>
        </w:numPr>
        <w:spacing w:before="120"/>
      </w:pPr>
      <w:r>
        <w:rPr>
          <w:color w:val="131A45"/>
        </w:rPr>
        <w:t>Reconnaître, respecter et concevoir en fonction du caractère unique et de la variabilité de l'être humain</w:t>
      </w:r>
    </w:p>
    <w:p w14:paraId="4E1B0035" w14:textId="77777777" w:rsidR="00BF02D1" w:rsidRDefault="00000000">
      <w:pPr>
        <w:widowControl w:val="0"/>
        <w:numPr>
          <w:ilvl w:val="1"/>
          <w:numId w:val="20"/>
        </w:numPr>
        <w:jc w:val="left"/>
        <w:rPr>
          <w:color w:val="131A45"/>
        </w:rPr>
      </w:pPr>
      <w:r>
        <w:rPr>
          <w:color w:val="131A45"/>
        </w:rPr>
        <w:t xml:space="preserve">Utiliser des processus inclusifs, ouverts et transparents, et coconcevoir avec des personnes ayant une diversité de points de vue, y compris des personnes qui ne peuvent pas ou qui </w:t>
      </w:r>
      <w:proofErr w:type="gramStart"/>
      <w:r>
        <w:rPr>
          <w:color w:val="131A45"/>
        </w:rPr>
        <w:t>ont</w:t>
      </w:r>
      <w:proofErr w:type="gramEnd"/>
      <w:r>
        <w:rPr>
          <w:color w:val="131A45"/>
        </w:rPr>
        <w:t xml:space="preserve"> des difficultés à utiliser les </w:t>
      </w:r>
      <w:r>
        <w:rPr>
          <w:i/>
          <w:color w:val="131A45"/>
        </w:rPr>
        <w:t>designs</w:t>
      </w:r>
      <w:r>
        <w:rPr>
          <w:color w:val="131A45"/>
        </w:rPr>
        <w:t xml:space="preserve"> actuels</w:t>
      </w:r>
    </w:p>
    <w:p w14:paraId="4E1B0036" w14:textId="77777777" w:rsidR="00BF02D1" w:rsidRDefault="00000000">
      <w:pPr>
        <w:widowControl w:val="0"/>
        <w:numPr>
          <w:ilvl w:val="1"/>
          <w:numId w:val="20"/>
        </w:numPr>
        <w:jc w:val="left"/>
        <w:rPr>
          <w:color w:val="131A45"/>
        </w:rPr>
      </w:pPr>
      <w:r>
        <w:rPr>
          <w:color w:val="131A45"/>
        </w:rPr>
        <w:t>Réaliser que vous concevez dans un système adaptatif complexe</w:t>
      </w:r>
      <w:r>
        <w:rPr>
          <w:color w:val="131A45"/>
          <w:vertAlign w:val="superscript"/>
        </w:rPr>
        <w:footnoteReference w:id="16"/>
      </w:r>
    </w:p>
    <w:p w14:paraId="4E1B0037" w14:textId="77777777" w:rsidR="00BF02D1" w:rsidRDefault="00000000">
      <w:pPr>
        <w:pStyle w:val="Titre3"/>
      </w:pPr>
      <w:bookmarkStart w:id="45" w:name="_heading=h.19c6y18" w:colFirst="0" w:colLast="0"/>
      <w:bookmarkEnd w:id="45"/>
      <w:r>
        <w:lastRenderedPageBreak/>
        <w:t>Proposez un environnement sain et propice</w:t>
      </w:r>
    </w:p>
    <w:p w14:paraId="4E1B0038" w14:textId="77777777" w:rsidR="00BF02D1" w:rsidRDefault="00000000">
      <w:pPr>
        <w:widowControl w:val="0"/>
        <w:numPr>
          <w:ilvl w:val="0"/>
          <w:numId w:val="1"/>
        </w:numPr>
        <w:spacing w:before="400" w:after="200"/>
        <w:jc w:val="left"/>
        <w:rPr>
          <w:color w:val="131A45"/>
        </w:rPr>
      </w:pPr>
      <w:r>
        <w:rPr>
          <w:color w:val="131A45"/>
        </w:rPr>
        <w:t xml:space="preserve">Construisez-vous un inventaire en accessibilité, comprenant outils sensoriels, rampe mobile, coquilles antibruit, etc. C’est une bonne idée de s’allier avec d’autres organismes et de mettre en commun des ressources. </w:t>
      </w:r>
    </w:p>
    <w:p w14:paraId="4E1B0039" w14:textId="77777777" w:rsidR="00BF02D1" w:rsidRDefault="00000000">
      <w:pPr>
        <w:widowControl w:val="0"/>
        <w:numPr>
          <w:ilvl w:val="0"/>
          <w:numId w:val="1"/>
        </w:numPr>
        <w:spacing w:before="0" w:after="200"/>
        <w:jc w:val="left"/>
        <w:rPr>
          <w:color w:val="131A45"/>
        </w:rPr>
      </w:pPr>
      <w:r>
        <w:rPr>
          <w:color w:val="131A45"/>
        </w:rPr>
        <w:t xml:space="preserve">Informez vos équipes sur les notions d’accessibilité et d’inclusivité. </w:t>
      </w:r>
    </w:p>
    <w:p w14:paraId="4E1B003A" w14:textId="77777777" w:rsidR="00BF02D1" w:rsidRDefault="00000000">
      <w:pPr>
        <w:widowControl w:val="0"/>
        <w:numPr>
          <w:ilvl w:val="0"/>
          <w:numId w:val="1"/>
        </w:numPr>
        <w:spacing w:before="0" w:after="200"/>
        <w:jc w:val="left"/>
        <w:rPr>
          <w:color w:val="131A45"/>
        </w:rPr>
      </w:pPr>
      <w:r>
        <w:rPr>
          <w:color w:val="131A45"/>
        </w:rPr>
        <w:t>Assurez-vous d’avoir une personne-ressource à l’accessibilité dans l’organisme qui peut être contactée à tout moment.</w:t>
      </w:r>
    </w:p>
    <w:p w14:paraId="4E1B003B" w14:textId="77777777" w:rsidR="00BF02D1" w:rsidRDefault="00000000">
      <w:pPr>
        <w:widowControl w:val="0"/>
        <w:numPr>
          <w:ilvl w:val="0"/>
          <w:numId w:val="1"/>
        </w:numPr>
        <w:spacing w:after="200"/>
        <w:jc w:val="left"/>
        <w:rPr>
          <w:color w:val="131A45"/>
        </w:rPr>
      </w:pPr>
      <w:r>
        <w:rPr>
          <w:color w:val="131A45"/>
        </w:rPr>
        <w:t xml:space="preserve">Prévoyez des heures aux contrats, </w:t>
      </w:r>
      <w:proofErr w:type="gramStart"/>
      <w:r>
        <w:rPr>
          <w:color w:val="131A45"/>
        </w:rPr>
        <w:t>suite au</w:t>
      </w:r>
      <w:proofErr w:type="gramEnd"/>
      <w:r>
        <w:rPr>
          <w:color w:val="131A45"/>
        </w:rPr>
        <w:t xml:space="preserve"> projet, pour de la rétroaction et pour améliorer vos procédures.</w:t>
      </w:r>
    </w:p>
    <w:p w14:paraId="4E1B003C" w14:textId="77777777" w:rsidR="00BF02D1" w:rsidRDefault="00000000">
      <w:pPr>
        <w:pStyle w:val="Titre3"/>
      </w:pPr>
      <w:bookmarkStart w:id="46" w:name="_heading=h.3tbugp1" w:colFirst="0" w:colLast="0"/>
      <w:bookmarkEnd w:id="46"/>
      <w:r>
        <w:t xml:space="preserve">Ne sous-estimez pas l’importance du temps </w:t>
      </w:r>
    </w:p>
    <w:p w14:paraId="4E1B003D" w14:textId="77777777" w:rsidR="00BF02D1" w:rsidRDefault="00000000">
      <w:pPr>
        <w:numPr>
          <w:ilvl w:val="0"/>
          <w:numId w:val="38"/>
        </w:numPr>
        <w:spacing w:before="400"/>
        <w:jc w:val="left"/>
        <w:rPr>
          <w:color w:val="131A45"/>
        </w:rPr>
      </w:pPr>
      <w:r>
        <w:rPr>
          <w:color w:val="131A45"/>
        </w:rPr>
        <w:t xml:space="preserve">Le temps est une des ressources les plus importantes des processus d’accessibilité créative. </w:t>
      </w:r>
    </w:p>
    <w:p w14:paraId="4E1B003E" w14:textId="77777777" w:rsidR="00BF02D1" w:rsidRDefault="00000000">
      <w:pPr>
        <w:widowControl w:val="0"/>
        <w:numPr>
          <w:ilvl w:val="0"/>
          <w:numId w:val="38"/>
        </w:numPr>
        <w:spacing w:after="200"/>
        <w:jc w:val="left"/>
        <w:rPr>
          <w:color w:val="131A45"/>
        </w:rPr>
      </w:pPr>
      <w:r>
        <w:rPr>
          <w:color w:val="131A45"/>
        </w:rPr>
        <w:t>L’accessibilité créative peut demander de revoir les temps de création et d’entrée en salle. Il faut laisser plus de temps pour la création, mais aussi pour réfléchir et concevoir les solutions d’accessibilité, les tester et les finaliser.</w:t>
      </w:r>
    </w:p>
    <w:p w14:paraId="4E1B003F" w14:textId="77777777" w:rsidR="00BF02D1" w:rsidRDefault="00000000">
      <w:pPr>
        <w:widowControl w:val="0"/>
        <w:numPr>
          <w:ilvl w:val="0"/>
          <w:numId w:val="38"/>
        </w:numPr>
        <w:spacing w:before="0" w:after="200"/>
        <w:jc w:val="left"/>
        <w:rPr>
          <w:color w:val="131A45"/>
        </w:rPr>
      </w:pPr>
      <w:r>
        <w:rPr>
          <w:color w:val="131A45"/>
        </w:rPr>
        <w:t xml:space="preserve">Certaines étapes risquent d'être plus dures ou plus longues que d’habitude. Que ce soit trouver un lieu accessible qui comprend aussi des toilettes adaptées, mettre des systèmes de communication adaptés en place ou trouver un langage de création commun, il faut y mettre le temps pour bien faire les choses. </w:t>
      </w:r>
    </w:p>
    <w:p w14:paraId="4E1B0040" w14:textId="77777777" w:rsidR="00BF02D1" w:rsidRDefault="00000000">
      <w:pPr>
        <w:widowControl w:val="0"/>
        <w:numPr>
          <w:ilvl w:val="0"/>
          <w:numId w:val="38"/>
        </w:numPr>
        <w:spacing w:after="200"/>
        <w:jc w:val="left"/>
        <w:rPr>
          <w:color w:val="131A45"/>
        </w:rPr>
      </w:pPr>
      <w:r>
        <w:rPr>
          <w:color w:val="131A45"/>
        </w:rPr>
        <w:t xml:space="preserve">L’accessibilité créative peut aussi permettre de repenser les standards de résidence et des journées de travail. Il n’est pas possible pour tout le monde, physiquement ou mentalement, de soutenir le rythme des horaires intenses, voire extrêmes, des arts vivants. Réfléchissez à des horaires qui permettent des journées de pause, des journées moins longues et des horaires flexibles. </w:t>
      </w:r>
    </w:p>
    <w:p w14:paraId="4E1B0041" w14:textId="7CC7B9D2" w:rsidR="00BF02D1" w:rsidRDefault="00C23744">
      <w:pPr>
        <w:pStyle w:val="Titre2"/>
        <w:ind w:right="360"/>
      </w:pPr>
      <w:bookmarkStart w:id="47" w:name="_heading=h.28h4qwu" w:colFirst="0" w:colLast="0"/>
      <w:bookmarkEnd w:id="47"/>
      <w:r>
        <w:rPr>
          <w:noProof/>
        </w:rPr>
        <w:lastRenderedPageBreak/>
        <w:drawing>
          <wp:anchor distT="0" distB="0" distL="0" distR="0" simplePos="0" relativeHeight="251688960" behindDoc="1" locked="0" layoutInCell="1" hidden="0" allowOverlap="1" wp14:anchorId="4E1B0137" wp14:editId="46C82E18">
            <wp:simplePos x="0" y="0"/>
            <wp:positionH relativeFrom="page">
              <wp:posOffset>1353185</wp:posOffset>
            </wp:positionH>
            <wp:positionV relativeFrom="page">
              <wp:posOffset>707862</wp:posOffset>
            </wp:positionV>
            <wp:extent cx="4492625" cy="600075"/>
            <wp:effectExtent l="0" t="0" r="3175" b="0"/>
            <wp:wrapNone/>
            <wp:docPr id="130602838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492625" cy="600075"/>
                    </a:xfrm>
                    <a:prstGeom prst="rect">
                      <a:avLst/>
                    </a:prstGeom>
                    <a:ln/>
                  </pic:spPr>
                </pic:pic>
              </a:graphicData>
            </a:graphic>
          </wp:anchor>
        </w:drawing>
      </w:r>
      <w:r>
        <w:rPr>
          <w:noProof/>
        </w:rPr>
        <w:drawing>
          <wp:anchor distT="0" distB="0" distL="0" distR="0" simplePos="0" relativeHeight="251689984" behindDoc="1" locked="0" layoutInCell="1" hidden="0" allowOverlap="1" wp14:anchorId="4E1B0139" wp14:editId="1530B776">
            <wp:simplePos x="0" y="0"/>
            <wp:positionH relativeFrom="page">
              <wp:posOffset>3627755</wp:posOffset>
            </wp:positionH>
            <wp:positionV relativeFrom="page">
              <wp:posOffset>709295</wp:posOffset>
            </wp:positionV>
            <wp:extent cx="4492625" cy="600075"/>
            <wp:effectExtent l="0" t="0" r="3175" b="0"/>
            <wp:wrapNone/>
            <wp:docPr id="130602840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492625" cy="600075"/>
                    </a:xfrm>
                    <a:prstGeom prst="rect">
                      <a:avLst/>
                    </a:prstGeom>
                    <a:ln/>
                  </pic:spPr>
                </pic:pic>
              </a:graphicData>
            </a:graphic>
          </wp:anchor>
        </w:drawing>
      </w:r>
      <w:r>
        <w:t>Bonnes pratiques en accessibilité pour le public</w:t>
      </w:r>
    </w:p>
    <w:p w14:paraId="4E1B0042" w14:textId="77777777" w:rsidR="00BF02D1" w:rsidRDefault="00000000">
      <w:pPr>
        <w:widowControl w:val="0"/>
        <w:spacing w:after="200"/>
        <w:jc w:val="left"/>
        <w:rPr>
          <w:color w:val="131A45"/>
        </w:rPr>
      </w:pPr>
      <w:r>
        <w:rPr>
          <w:color w:val="131A45"/>
        </w:rPr>
        <w:t xml:space="preserve">Contrairement à d’autres types de démarches, l’accessibilité créative est ancrée dans le rapport entre les personnes participantes et l’œuvre d’art. Pour vous aider à bien faire les choses, nous répertorions ici les meilleures pratiques apprises au fil des ans. </w:t>
      </w:r>
    </w:p>
    <w:p w14:paraId="4E1B0043" w14:textId="77777777" w:rsidR="00BF02D1" w:rsidRDefault="00000000">
      <w:pPr>
        <w:pStyle w:val="Titre3"/>
        <w:widowControl w:val="0"/>
        <w:spacing w:before="600"/>
        <w:jc w:val="left"/>
      </w:pPr>
      <w:bookmarkStart w:id="48" w:name="_heading=h.nmf14n" w:colFirst="0" w:colLast="0"/>
      <w:bookmarkEnd w:id="48"/>
      <w:r>
        <w:t>Préparez un guide d’accueil pour chacune de vos productions</w:t>
      </w:r>
    </w:p>
    <w:p w14:paraId="4E1B0044" w14:textId="77777777" w:rsidR="00BF02D1" w:rsidRDefault="00000000">
      <w:pPr>
        <w:widowControl w:val="0"/>
        <w:numPr>
          <w:ilvl w:val="0"/>
          <w:numId w:val="51"/>
        </w:numPr>
        <w:spacing w:before="400"/>
        <w:jc w:val="left"/>
        <w:rPr>
          <w:color w:val="131A45"/>
        </w:rPr>
      </w:pPr>
      <w:r>
        <w:rPr>
          <w:color w:val="131A45"/>
        </w:rPr>
        <w:t xml:space="preserve">Un guide d’accueil est un outil polyvalent à offrir avant chaque représentation, afin de répondre à divers besoins d’accessibilité et questions que pourraient avoir les spectatrices et spectateurs, aidant ainsi un large éventail de personnes à mieux se préparer et à profiter pleinement de leur expérience. </w:t>
      </w:r>
    </w:p>
    <w:p w14:paraId="4E1B0045" w14:textId="77777777" w:rsidR="00BF02D1" w:rsidRDefault="00000000">
      <w:pPr>
        <w:widowControl w:val="0"/>
        <w:numPr>
          <w:ilvl w:val="0"/>
          <w:numId w:val="51"/>
        </w:numPr>
        <w:spacing w:after="200"/>
        <w:jc w:val="left"/>
        <w:rPr>
          <w:color w:val="131A45"/>
        </w:rPr>
      </w:pPr>
      <w:r>
        <w:rPr>
          <w:color w:val="131A45"/>
        </w:rPr>
        <w:t>Ce guide peut être particulièrement utile pour répondre à des besoins en termes de mobilité, d’anxiété, d’organisation et de soutien à la compréhension d’une œuvre.</w:t>
      </w:r>
    </w:p>
    <w:p w14:paraId="4E1B0046" w14:textId="77777777" w:rsidR="00BF02D1" w:rsidRDefault="00000000">
      <w:pPr>
        <w:widowControl w:val="0"/>
        <w:numPr>
          <w:ilvl w:val="0"/>
          <w:numId w:val="51"/>
        </w:numPr>
        <w:spacing w:before="0"/>
        <w:jc w:val="left"/>
        <w:rPr>
          <w:color w:val="131A45"/>
        </w:rPr>
      </w:pPr>
      <w:r>
        <w:rPr>
          <w:color w:val="131A45"/>
        </w:rPr>
        <w:t xml:space="preserve">Il devrait comprendre des informations telles que : </w:t>
      </w:r>
    </w:p>
    <w:p w14:paraId="4E1B0047" w14:textId="77777777" w:rsidR="00BF02D1" w:rsidRDefault="00000000">
      <w:pPr>
        <w:widowControl w:val="0"/>
        <w:numPr>
          <w:ilvl w:val="1"/>
          <w:numId w:val="51"/>
        </w:numPr>
        <w:spacing w:before="120" w:after="200"/>
        <w:jc w:val="left"/>
        <w:rPr>
          <w:color w:val="131A45"/>
        </w:rPr>
      </w:pPr>
      <w:r>
        <w:rPr>
          <w:color w:val="131A45"/>
        </w:rPr>
        <w:t>Les directions pour se rendre au lieu de diffusion</w:t>
      </w:r>
    </w:p>
    <w:p w14:paraId="4E1B0048" w14:textId="77777777" w:rsidR="00BF02D1" w:rsidRDefault="00000000">
      <w:pPr>
        <w:widowControl w:val="0"/>
        <w:numPr>
          <w:ilvl w:val="1"/>
          <w:numId w:val="51"/>
        </w:numPr>
        <w:spacing w:before="0" w:after="200"/>
        <w:jc w:val="left"/>
        <w:rPr>
          <w:color w:val="131A45"/>
        </w:rPr>
      </w:pPr>
      <w:r>
        <w:rPr>
          <w:color w:val="131A45"/>
        </w:rPr>
        <w:t>L’aménagement du lieu, une fois sur place</w:t>
      </w:r>
    </w:p>
    <w:p w14:paraId="4E1B0049" w14:textId="77777777" w:rsidR="00BF02D1" w:rsidRDefault="00000000">
      <w:pPr>
        <w:widowControl w:val="0"/>
        <w:numPr>
          <w:ilvl w:val="1"/>
          <w:numId w:val="51"/>
        </w:numPr>
        <w:spacing w:before="0" w:after="200"/>
        <w:jc w:val="left"/>
        <w:rPr>
          <w:color w:val="131A45"/>
        </w:rPr>
      </w:pPr>
      <w:r>
        <w:rPr>
          <w:color w:val="131A45"/>
        </w:rPr>
        <w:t xml:space="preserve">La durée précise de la représentation ou de l’activité </w:t>
      </w:r>
    </w:p>
    <w:p w14:paraId="4E1B004A" w14:textId="77777777" w:rsidR="00BF02D1" w:rsidRDefault="00000000">
      <w:pPr>
        <w:widowControl w:val="0"/>
        <w:numPr>
          <w:ilvl w:val="1"/>
          <w:numId w:val="51"/>
        </w:numPr>
        <w:spacing w:before="0" w:after="200"/>
        <w:jc w:val="left"/>
        <w:rPr>
          <w:color w:val="131A45"/>
        </w:rPr>
      </w:pPr>
      <w:r>
        <w:rPr>
          <w:color w:val="131A45"/>
        </w:rPr>
        <w:t xml:space="preserve">Les moments de pause prévus </w:t>
      </w:r>
    </w:p>
    <w:p w14:paraId="4E1B004B" w14:textId="77777777" w:rsidR="00BF02D1" w:rsidRDefault="00000000">
      <w:pPr>
        <w:widowControl w:val="0"/>
        <w:numPr>
          <w:ilvl w:val="1"/>
          <w:numId w:val="51"/>
        </w:numPr>
        <w:spacing w:before="0" w:after="200"/>
        <w:jc w:val="left"/>
        <w:rPr>
          <w:color w:val="131A45"/>
        </w:rPr>
      </w:pPr>
      <w:r>
        <w:rPr>
          <w:color w:val="131A45"/>
        </w:rPr>
        <w:t>Le déroulement de la représentation ou de l’activité</w:t>
      </w:r>
    </w:p>
    <w:p w14:paraId="4E1B004C" w14:textId="77777777" w:rsidR="00BF02D1" w:rsidRDefault="00000000">
      <w:pPr>
        <w:widowControl w:val="0"/>
        <w:numPr>
          <w:ilvl w:val="1"/>
          <w:numId w:val="51"/>
        </w:numPr>
        <w:spacing w:before="0" w:after="200"/>
        <w:jc w:val="left"/>
        <w:rPr>
          <w:color w:val="131A45"/>
        </w:rPr>
      </w:pPr>
      <w:r>
        <w:rPr>
          <w:color w:val="131A45"/>
        </w:rPr>
        <w:t xml:space="preserve">Un soutien à la trame narrative de l’œuvre, si pertinent </w:t>
      </w:r>
    </w:p>
    <w:p w14:paraId="4E1B004D" w14:textId="77777777" w:rsidR="00BF02D1" w:rsidRDefault="00000000">
      <w:pPr>
        <w:widowControl w:val="0"/>
        <w:numPr>
          <w:ilvl w:val="1"/>
          <w:numId w:val="51"/>
        </w:numPr>
        <w:spacing w:before="0" w:after="200"/>
        <w:jc w:val="left"/>
        <w:rPr>
          <w:color w:val="131A45"/>
        </w:rPr>
      </w:pPr>
      <w:r>
        <w:rPr>
          <w:color w:val="131A45"/>
        </w:rPr>
        <w:t>Les avertissements pertinents</w:t>
      </w:r>
    </w:p>
    <w:p w14:paraId="4E1B004E" w14:textId="77777777" w:rsidR="00BF02D1" w:rsidRDefault="00000000">
      <w:pPr>
        <w:widowControl w:val="0"/>
        <w:numPr>
          <w:ilvl w:val="1"/>
          <w:numId w:val="51"/>
        </w:numPr>
        <w:spacing w:before="0" w:after="200"/>
        <w:jc w:val="left"/>
        <w:rPr>
          <w:color w:val="131A45"/>
        </w:rPr>
      </w:pPr>
      <w:r>
        <w:rPr>
          <w:color w:val="131A45"/>
        </w:rPr>
        <w:t>La personne à contacter, en cas de besoin d’accessibilité</w:t>
      </w:r>
    </w:p>
    <w:p w14:paraId="4E1B004F" w14:textId="77777777" w:rsidR="00BF02D1" w:rsidRDefault="00000000">
      <w:pPr>
        <w:widowControl w:val="0"/>
        <w:numPr>
          <w:ilvl w:val="0"/>
          <w:numId w:val="51"/>
        </w:numPr>
        <w:spacing w:before="600"/>
        <w:jc w:val="left"/>
        <w:rPr>
          <w:color w:val="131A45"/>
        </w:rPr>
      </w:pPr>
      <w:r>
        <w:rPr>
          <w:color w:val="131A45"/>
        </w:rPr>
        <w:lastRenderedPageBreak/>
        <w:t xml:space="preserve">Des photos, plans ou dessins des lieux peuvent s’y trouver pour aider à visualiser le parcours à faire, ainsi que des images des personnages et de la pièce pour aider le public à se préparer selon ses préférences et besoins. </w:t>
      </w:r>
    </w:p>
    <w:p w14:paraId="4E1B0050" w14:textId="77777777" w:rsidR="00BF02D1" w:rsidRDefault="00000000">
      <w:pPr>
        <w:widowControl w:val="0"/>
        <w:numPr>
          <w:ilvl w:val="0"/>
          <w:numId w:val="51"/>
        </w:numPr>
        <w:spacing w:after="200"/>
        <w:jc w:val="left"/>
        <w:rPr>
          <w:color w:val="131A45"/>
        </w:rPr>
      </w:pPr>
      <w:r>
        <w:rPr>
          <w:color w:val="131A45"/>
        </w:rPr>
        <w:t>Notez bien que trop d’information peut aussi embrouiller les gens. Il vaut mieux se concentrer sur les informations pertinentes selon les besoins d’accessibilité cernés, présentées de manière claire, ordonnée et précise.</w:t>
      </w:r>
    </w:p>
    <w:p w14:paraId="4E1B0051" w14:textId="77777777" w:rsidR="00BF02D1" w:rsidRDefault="00000000">
      <w:pPr>
        <w:widowControl w:val="0"/>
        <w:numPr>
          <w:ilvl w:val="0"/>
          <w:numId w:val="51"/>
        </w:numPr>
        <w:spacing w:after="200"/>
        <w:jc w:val="left"/>
        <w:rPr>
          <w:color w:val="131A45"/>
        </w:rPr>
      </w:pPr>
      <w:r>
        <w:rPr>
          <w:color w:val="131A45"/>
        </w:rPr>
        <w:t xml:space="preserve">Le but n’est pas de produire un bulletin de </w:t>
      </w:r>
      <w:r w:rsidRPr="00C23744">
        <w:rPr>
          <w:i/>
          <w:color w:val="131A45"/>
        </w:rPr>
        <w:t>marketing</w:t>
      </w:r>
      <w:r>
        <w:rPr>
          <w:color w:val="131A45"/>
        </w:rPr>
        <w:t xml:space="preserve">. On ne cherche pas à vendre le spectacle ou à éviter de possibles divulgations, mais bien à accompagner les besoins d’accessibilité de toute personne présente. </w:t>
      </w:r>
    </w:p>
    <w:p w14:paraId="4E1B0052" w14:textId="77777777" w:rsidR="00BF02D1" w:rsidRDefault="00000000">
      <w:pPr>
        <w:pStyle w:val="Titre3"/>
        <w:widowControl w:val="0"/>
        <w:jc w:val="left"/>
      </w:pPr>
      <w:bookmarkStart w:id="49" w:name="_heading=h.37m2jsg" w:colFirst="0" w:colLast="0"/>
      <w:bookmarkEnd w:id="49"/>
      <w:r>
        <w:t>Organisez adéquatement l’accessibilité du lieu</w:t>
      </w:r>
    </w:p>
    <w:p w14:paraId="4E1B0053" w14:textId="77777777" w:rsidR="00BF02D1" w:rsidRDefault="00000000">
      <w:pPr>
        <w:widowControl w:val="0"/>
        <w:numPr>
          <w:ilvl w:val="0"/>
          <w:numId w:val="53"/>
        </w:numPr>
        <w:spacing w:before="400" w:after="200"/>
        <w:jc w:val="left"/>
        <w:rPr>
          <w:color w:val="131A45"/>
        </w:rPr>
      </w:pPr>
      <w:r>
        <w:rPr>
          <w:color w:val="131A45"/>
        </w:rPr>
        <w:t>Nous l’avons déjà mentionné, mais il est important de ne pas imaginer que tout lieu soit accessible selon les besoins ciblés. Les lieux entièrement accessibles sont rares. L’important, c’est de bien identifier les obstacles du lieu pour que les membres du public puissent faire leur propre choix.</w:t>
      </w:r>
    </w:p>
    <w:p w14:paraId="4E1B0054" w14:textId="77777777" w:rsidR="00BF02D1" w:rsidRDefault="00000000">
      <w:pPr>
        <w:widowControl w:val="0"/>
        <w:numPr>
          <w:ilvl w:val="0"/>
          <w:numId w:val="53"/>
        </w:numPr>
        <w:spacing w:after="200"/>
        <w:jc w:val="left"/>
        <w:rPr>
          <w:color w:val="131A45"/>
        </w:rPr>
      </w:pPr>
      <w:r>
        <w:rPr>
          <w:color w:val="131A45"/>
        </w:rPr>
        <w:t xml:space="preserve">On doit s’assurer que l’ensemble de notre lieu est accessible, de l’entrée à la salle, de la salle aux toilettes, du bar à la salle de l’activité de médiation, ainsi que tout endroit où le public est susceptible de se rendre. </w:t>
      </w:r>
    </w:p>
    <w:p w14:paraId="4E1B0055" w14:textId="77777777" w:rsidR="00BF02D1" w:rsidRDefault="00000000">
      <w:pPr>
        <w:widowControl w:val="0"/>
        <w:numPr>
          <w:ilvl w:val="0"/>
          <w:numId w:val="53"/>
        </w:numPr>
        <w:spacing w:after="200"/>
        <w:jc w:val="left"/>
        <w:rPr>
          <w:color w:val="131A45"/>
        </w:rPr>
      </w:pPr>
      <w:r>
        <w:rPr>
          <w:color w:val="131A45"/>
        </w:rPr>
        <w:t xml:space="preserve">Dans l’éventualité où le lieu n’est pas présentement accessible à tout le monde, cela ne signifie pas qu’on doive automatiquement changer de lieu : il faut alors penser autrement, voir les autres solutions et les ajouts d’accessibilité possibles, et réfléchir aux autres besoins sur lesquels concentrer notre attention. </w:t>
      </w:r>
    </w:p>
    <w:p w14:paraId="4E1B0056" w14:textId="77777777" w:rsidR="00BF02D1" w:rsidRDefault="00000000">
      <w:pPr>
        <w:widowControl w:val="0"/>
        <w:numPr>
          <w:ilvl w:val="0"/>
          <w:numId w:val="53"/>
        </w:numPr>
        <w:spacing w:after="200"/>
        <w:jc w:val="left"/>
        <w:rPr>
          <w:color w:val="131A45"/>
        </w:rPr>
      </w:pPr>
      <w:r>
        <w:rPr>
          <w:color w:val="131A45"/>
        </w:rPr>
        <w:t xml:space="preserve">Il est recommandé de mettre en place des indicateurs et des systèmes visuels qui indiquent les divers espaces et ainsi aider au déplacement. </w:t>
      </w:r>
    </w:p>
    <w:p w14:paraId="4E1B0057" w14:textId="77777777" w:rsidR="00BF02D1" w:rsidRDefault="00000000">
      <w:pPr>
        <w:widowControl w:val="0"/>
        <w:numPr>
          <w:ilvl w:val="0"/>
          <w:numId w:val="53"/>
        </w:numPr>
        <w:spacing w:after="200"/>
        <w:jc w:val="left"/>
        <w:rPr>
          <w:color w:val="131A45"/>
        </w:rPr>
      </w:pPr>
      <w:r>
        <w:rPr>
          <w:color w:val="131A45"/>
        </w:rPr>
        <w:t xml:space="preserve">N’hésitez pas à consulter des experts pour vous assurer que tout est conforme. </w:t>
      </w:r>
    </w:p>
    <w:p w14:paraId="4E1B0058" w14:textId="77777777" w:rsidR="00BF02D1" w:rsidRDefault="00000000">
      <w:pPr>
        <w:pStyle w:val="Titre3"/>
      </w:pPr>
      <w:bookmarkStart w:id="50" w:name="_heading=h.1mrcu09" w:colFirst="0" w:colLast="0"/>
      <w:bookmarkEnd w:id="50"/>
      <w:r>
        <w:lastRenderedPageBreak/>
        <w:t>Prévoyez un espace de retour au calme</w:t>
      </w:r>
    </w:p>
    <w:p w14:paraId="4E1B0059" w14:textId="4EB83EF8" w:rsidR="00BF02D1" w:rsidRDefault="00000000">
      <w:pPr>
        <w:widowControl w:val="0"/>
        <w:numPr>
          <w:ilvl w:val="0"/>
          <w:numId w:val="15"/>
        </w:numPr>
        <w:spacing w:after="200"/>
        <w:jc w:val="left"/>
        <w:rPr>
          <w:color w:val="131A45"/>
        </w:rPr>
      </w:pPr>
      <w:r>
        <w:rPr>
          <w:color w:val="131A45"/>
        </w:rPr>
        <w:t xml:space="preserve">L’espace de retour au calme, aussi nommé </w:t>
      </w:r>
      <w:r w:rsidR="0032095F">
        <w:rPr>
          <w:color w:val="131A45"/>
        </w:rPr>
        <w:t>« </w:t>
      </w:r>
      <w:r>
        <w:rPr>
          <w:color w:val="131A45"/>
        </w:rPr>
        <w:t>salle de réconfort</w:t>
      </w:r>
      <w:r w:rsidR="0032095F">
        <w:rPr>
          <w:color w:val="131A45"/>
        </w:rPr>
        <w:t> »</w:t>
      </w:r>
      <w:r>
        <w:rPr>
          <w:color w:val="131A45"/>
        </w:rPr>
        <w:t>, est un lieu conçu pour offrir un environnement apaisant où une personne peut se retirer temporairement afin de diminuer son anxiété, réguler ses émotions ou se rétablir après une surcharge sensorielle.</w:t>
      </w:r>
    </w:p>
    <w:p w14:paraId="4E1B005A" w14:textId="77777777" w:rsidR="00BF02D1" w:rsidRDefault="00000000">
      <w:pPr>
        <w:widowControl w:val="0"/>
        <w:numPr>
          <w:ilvl w:val="0"/>
          <w:numId w:val="15"/>
        </w:numPr>
        <w:spacing w:before="0" w:after="200"/>
        <w:jc w:val="left"/>
        <w:rPr>
          <w:color w:val="131A45"/>
        </w:rPr>
      </w:pPr>
      <w:r>
        <w:rPr>
          <w:color w:val="131A45"/>
        </w:rPr>
        <w:t xml:space="preserve">Habituellement mentionnée pour l'accueil des personnes </w:t>
      </w:r>
      <w:proofErr w:type="spellStart"/>
      <w:r>
        <w:rPr>
          <w:color w:val="131A45"/>
        </w:rPr>
        <w:t>neuroatypiques</w:t>
      </w:r>
      <w:proofErr w:type="spellEnd"/>
      <w:r>
        <w:rPr>
          <w:color w:val="131A45"/>
        </w:rPr>
        <w:t xml:space="preserve">, cette salle peut être appréciée par tout public. Cette salle peut aussi servir à vos équipes, et s’avérer bénéfique à intégrer dans vos répétitions et résidences. </w:t>
      </w:r>
    </w:p>
    <w:p w14:paraId="4E1B005B" w14:textId="77777777" w:rsidR="00BF02D1" w:rsidRDefault="00000000">
      <w:pPr>
        <w:widowControl w:val="0"/>
        <w:numPr>
          <w:ilvl w:val="0"/>
          <w:numId w:val="15"/>
        </w:numPr>
        <w:spacing w:before="0" w:after="200"/>
        <w:jc w:val="left"/>
        <w:rPr>
          <w:color w:val="131A45"/>
        </w:rPr>
      </w:pPr>
      <w:r>
        <w:rPr>
          <w:color w:val="131A45"/>
        </w:rPr>
        <w:t xml:space="preserve">Ce lieu est le plus isolé possible du bruit, et les lumières y sont tamisées. </w:t>
      </w:r>
    </w:p>
    <w:p w14:paraId="4E1B005C" w14:textId="77777777" w:rsidR="00BF02D1" w:rsidRDefault="00000000">
      <w:pPr>
        <w:widowControl w:val="0"/>
        <w:numPr>
          <w:ilvl w:val="0"/>
          <w:numId w:val="15"/>
        </w:numPr>
        <w:spacing w:after="200"/>
        <w:jc w:val="left"/>
        <w:rPr>
          <w:color w:val="131A45"/>
        </w:rPr>
      </w:pPr>
      <w:r>
        <w:rPr>
          <w:color w:val="131A45"/>
        </w:rPr>
        <w:t>Plusieurs ressources peuvent se trouver dans ce lieu pour aider les personnes la visitant à s’apaiser, comme des objets sensoriels, du matériel de dessin et de lecture, des couvertures et/ou coussins lourds, des chaises ou fauteuils confortables, des coquilles antibruit, etc.)</w:t>
      </w:r>
    </w:p>
    <w:p w14:paraId="4E1B005D" w14:textId="77777777" w:rsidR="00BF02D1" w:rsidRDefault="00000000">
      <w:pPr>
        <w:pStyle w:val="Titre3"/>
      </w:pPr>
      <w:bookmarkStart w:id="51" w:name="_heading=h.46r0co2" w:colFirst="0" w:colLast="0"/>
      <w:bookmarkEnd w:id="51"/>
      <w:r>
        <w:t xml:space="preserve">Assurez-vous d’avoir une personne-contact en accessibilité </w:t>
      </w:r>
    </w:p>
    <w:p w14:paraId="4E1B005E" w14:textId="77777777" w:rsidR="00BF02D1" w:rsidRDefault="00000000">
      <w:pPr>
        <w:widowControl w:val="0"/>
        <w:numPr>
          <w:ilvl w:val="0"/>
          <w:numId w:val="3"/>
        </w:numPr>
        <w:spacing w:before="200" w:after="200"/>
        <w:jc w:val="left"/>
        <w:rPr>
          <w:color w:val="131A45"/>
        </w:rPr>
      </w:pPr>
      <w:r>
        <w:rPr>
          <w:color w:val="131A45"/>
        </w:rPr>
        <w:t xml:space="preserve">Les participantes et participants devraient pouvoir facilement rejoindre une personne pouvant répondre à leurs questions et besoins d’accessibilité, tout au long de l'événement et de sa mise en vente. </w:t>
      </w:r>
    </w:p>
    <w:p w14:paraId="4E1B005F" w14:textId="77777777" w:rsidR="00BF02D1" w:rsidRDefault="00000000">
      <w:pPr>
        <w:widowControl w:val="0"/>
        <w:numPr>
          <w:ilvl w:val="0"/>
          <w:numId w:val="3"/>
        </w:numPr>
        <w:spacing w:before="200" w:after="200"/>
        <w:jc w:val="left"/>
        <w:rPr>
          <w:color w:val="131A45"/>
        </w:rPr>
      </w:pPr>
      <w:r>
        <w:rPr>
          <w:color w:val="131A45"/>
        </w:rPr>
        <w:t xml:space="preserve">Il ne devrait y avoir qu’un seul contact, facilement identifiable et joignable. </w:t>
      </w:r>
    </w:p>
    <w:p w14:paraId="4E1B0060" w14:textId="77777777" w:rsidR="00BF02D1" w:rsidRDefault="00000000">
      <w:pPr>
        <w:widowControl w:val="0"/>
        <w:numPr>
          <w:ilvl w:val="0"/>
          <w:numId w:val="3"/>
        </w:numPr>
        <w:spacing w:before="200" w:after="200"/>
        <w:jc w:val="left"/>
        <w:rPr>
          <w:color w:val="131A45"/>
        </w:rPr>
      </w:pPr>
      <w:r>
        <w:rPr>
          <w:color w:val="131A45"/>
        </w:rPr>
        <w:t>Cette personne s’assure du bon fonctionnement des systèmes d’accessibilité durant la présentation et aide à les mettre en place pour le public, au besoin.</w:t>
      </w:r>
    </w:p>
    <w:p w14:paraId="4E1B0061" w14:textId="77777777" w:rsidR="00BF02D1" w:rsidRDefault="00000000">
      <w:pPr>
        <w:widowControl w:val="0"/>
        <w:numPr>
          <w:ilvl w:val="0"/>
          <w:numId w:val="3"/>
        </w:numPr>
        <w:spacing w:before="200" w:after="200"/>
        <w:jc w:val="left"/>
        <w:rPr>
          <w:color w:val="131A45"/>
        </w:rPr>
      </w:pPr>
      <w:r>
        <w:rPr>
          <w:color w:val="131A45"/>
        </w:rPr>
        <w:t xml:space="preserve">Cette personne doit avoir été adéquatement formée, et bien comprendre les enjeux potentiels et les solutions adaptées aux circonstances. </w:t>
      </w:r>
    </w:p>
    <w:p w14:paraId="4E1B0062" w14:textId="77777777" w:rsidR="00BF02D1" w:rsidRDefault="00000000">
      <w:pPr>
        <w:pStyle w:val="Titre3"/>
      </w:pPr>
      <w:bookmarkStart w:id="52" w:name="_heading=h.2lwamvv" w:colFirst="0" w:colLast="0"/>
      <w:bookmarkEnd w:id="52"/>
      <w:r>
        <w:lastRenderedPageBreak/>
        <w:t>Gardez un degré de luminosité tout au long de la présentation</w:t>
      </w:r>
    </w:p>
    <w:p w14:paraId="4E1B0063" w14:textId="77777777" w:rsidR="00BF02D1" w:rsidRDefault="00000000">
      <w:pPr>
        <w:widowControl w:val="0"/>
        <w:numPr>
          <w:ilvl w:val="0"/>
          <w:numId w:val="73"/>
        </w:numPr>
        <w:spacing w:before="400"/>
        <w:jc w:val="left"/>
        <w:rPr>
          <w:color w:val="131A45"/>
        </w:rPr>
      </w:pPr>
      <w:r>
        <w:rPr>
          <w:color w:val="131A45"/>
        </w:rPr>
        <w:t>En lien avec « l</w:t>
      </w:r>
      <w:hyperlink w:anchor="_heading=h.44sinio">
        <w:r w:rsidR="00BF02D1">
          <w:rPr>
            <w:color w:val="131A45"/>
            <w:u w:val="single"/>
          </w:rPr>
          <w:t>'effet rampe de trottoir</w:t>
        </w:r>
      </w:hyperlink>
      <w:r>
        <w:rPr>
          <w:color w:val="131A45"/>
        </w:rPr>
        <w:t xml:space="preserve"> », garder une faible luminosité dans l’espace du public tout au long de la présentation n’affecte pas la visibilité pour l’ensemble du public, mais aide grandement certaines personnes anxieuses ou </w:t>
      </w:r>
      <w:proofErr w:type="spellStart"/>
      <w:r>
        <w:rPr>
          <w:color w:val="131A45"/>
        </w:rPr>
        <w:t>neuroatypiques</w:t>
      </w:r>
      <w:proofErr w:type="spellEnd"/>
      <w:r>
        <w:rPr>
          <w:color w:val="131A45"/>
        </w:rPr>
        <w:t xml:space="preserve"> à mieux profiter de leur expérience.  </w:t>
      </w:r>
    </w:p>
    <w:p w14:paraId="4E1B0064" w14:textId="77777777" w:rsidR="00BF02D1" w:rsidRDefault="00000000">
      <w:pPr>
        <w:widowControl w:val="0"/>
        <w:numPr>
          <w:ilvl w:val="0"/>
          <w:numId w:val="73"/>
        </w:numPr>
        <w:jc w:val="left"/>
        <w:rPr>
          <w:color w:val="131A45"/>
        </w:rPr>
      </w:pPr>
      <w:r>
        <w:rPr>
          <w:color w:val="131A45"/>
        </w:rPr>
        <w:t xml:space="preserve">Maintenir un niveau de lumière peut aussi être bénéfique à un plus grand nombre en réduisant la fatigue oculaire et la surcharge sensorielle, ce qui peut faciliter le traitement de l’information. </w:t>
      </w:r>
    </w:p>
    <w:p w14:paraId="4E1B0065" w14:textId="77777777" w:rsidR="00BF02D1" w:rsidRDefault="00000000">
      <w:pPr>
        <w:widowControl w:val="0"/>
        <w:numPr>
          <w:ilvl w:val="0"/>
          <w:numId w:val="73"/>
        </w:numPr>
        <w:spacing w:after="200"/>
        <w:jc w:val="left"/>
        <w:rPr>
          <w:color w:val="131A45"/>
        </w:rPr>
      </w:pPr>
      <w:r>
        <w:rPr>
          <w:color w:val="131A45"/>
        </w:rPr>
        <w:t xml:space="preserve">Viser 10 % de luminosité constitue un bon point de départ, mais 30 % est idéal. </w:t>
      </w:r>
    </w:p>
    <w:p w14:paraId="4E1B0066" w14:textId="77777777" w:rsidR="00BF02D1" w:rsidRDefault="00000000">
      <w:pPr>
        <w:widowControl w:val="0"/>
        <w:numPr>
          <w:ilvl w:val="0"/>
          <w:numId w:val="73"/>
        </w:numPr>
        <w:spacing w:after="200"/>
        <w:jc w:val="left"/>
        <w:rPr>
          <w:color w:val="131A45"/>
        </w:rPr>
      </w:pPr>
      <w:r>
        <w:rPr>
          <w:color w:val="131A45"/>
        </w:rPr>
        <w:t xml:space="preserve">Dans l’esprit de l’accessibilité créative, ce pourcentage de lumière gardée en salle peut devenir une partie réfléchie de la conception d’éclairage, ainsi qu’un moteur créatif plutôt qu’une contrainte. </w:t>
      </w:r>
    </w:p>
    <w:p w14:paraId="4E1B0067" w14:textId="77777777" w:rsidR="00BF02D1" w:rsidRDefault="00000000">
      <w:pPr>
        <w:pStyle w:val="Titre3"/>
        <w:widowControl w:val="0"/>
        <w:spacing w:before="600" w:after="200"/>
        <w:jc w:val="left"/>
      </w:pPr>
      <w:bookmarkStart w:id="53" w:name="_heading=h.111kx3o" w:colFirst="0" w:colLast="0"/>
      <w:bookmarkEnd w:id="53"/>
      <w:r>
        <w:t>Offrez un espace pour partager les attentes et les rétroactions</w:t>
      </w:r>
    </w:p>
    <w:p w14:paraId="4E1B0068" w14:textId="77777777" w:rsidR="00BF02D1" w:rsidRDefault="00000000">
      <w:pPr>
        <w:widowControl w:val="0"/>
        <w:numPr>
          <w:ilvl w:val="0"/>
          <w:numId w:val="17"/>
        </w:numPr>
        <w:spacing w:before="400" w:after="200"/>
        <w:jc w:val="left"/>
        <w:rPr>
          <w:color w:val="131A45"/>
        </w:rPr>
      </w:pPr>
      <w:r>
        <w:rPr>
          <w:color w:val="131A45"/>
        </w:rPr>
        <w:t xml:space="preserve">Proposer d’écouter les besoins mentionnés et d’y répondre au mieux selon les ressources disponibles est un des gestes les plus significatifs qui peuvent être réalisés. Écouter, c’est déjà un pas énorme vers l’accessibilité. </w:t>
      </w:r>
    </w:p>
    <w:p w14:paraId="4E1B0069" w14:textId="77777777" w:rsidR="00BF02D1" w:rsidRDefault="00000000">
      <w:pPr>
        <w:widowControl w:val="0"/>
        <w:numPr>
          <w:ilvl w:val="0"/>
          <w:numId w:val="17"/>
        </w:numPr>
        <w:spacing w:before="0" w:after="200"/>
        <w:jc w:val="left"/>
        <w:rPr>
          <w:color w:val="131A45"/>
        </w:rPr>
      </w:pPr>
      <w:r>
        <w:rPr>
          <w:color w:val="131A45"/>
        </w:rPr>
        <w:t>Pour se faire, on peut mettre à disposition plusieurs moyens pour entendre les avis de ses publics, que ce soit par formulaire virtuel, sur papier à la sortie d’une représentation, via une personne présente sur place pour discuter, etc.</w:t>
      </w:r>
    </w:p>
    <w:p w14:paraId="4E1B006A" w14:textId="77777777" w:rsidR="00BF02D1" w:rsidRDefault="00000000">
      <w:pPr>
        <w:widowControl w:val="0"/>
        <w:numPr>
          <w:ilvl w:val="0"/>
          <w:numId w:val="17"/>
        </w:numPr>
        <w:spacing w:before="0" w:after="200"/>
        <w:jc w:val="left"/>
        <w:rPr>
          <w:color w:val="131A45"/>
        </w:rPr>
      </w:pPr>
      <w:r>
        <w:rPr>
          <w:color w:val="131A45"/>
        </w:rPr>
        <w:t xml:space="preserve">Instaurez un processus de rétroaction interne et avec les personnes participantes à l’activité, afin de continuer de faire évoluer vos processus. </w:t>
      </w:r>
    </w:p>
    <w:p w14:paraId="4E1B006B" w14:textId="77777777" w:rsidR="00BF02D1" w:rsidRDefault="00000000">
      <w:pPr>
        <w:widowControl w:val="0"/>
        <w:numPr>
          <w:ilvl w:val="0"/>
          <w:numId w:val="17"/>
        </w:numPr>
        <w:spacing w:after="200"/>
        <w:jc w:val="left"/>
      </w:pPr>
      <w:r>
        <w:rPr>
          <w:color w:val="131A45"/>
        </w:rPr>
        <w:t xml:space="preserve">Les personnes dites de la diversité fonctionnelle devraient avoir l’occasion de donner directement leur avis. Particulièrement quand il est question de </w:t>
      </w:r>
      <w:proofErr w:type="spellStart"/>
      <w:r>
        <w:rPr>
          <w:color w:val="131A45"/>
        </w:rPr>
        <w:t>neuroatypie</w:t>
      </w:r>
      <w:proofErr w:type="spellEnd"/>
      <w:r>
        <w:rPr>
          <w:color w:val="131A45"/>
        </w:rPr>
        <w:t xml:space="preserve"> et de déficience intellectuelle, les demandes de commentaires sont trop souvent dirigées vers les accompagnants. Tout le monde devrait pouvoir donner soi-même son propre avis. </w:t>
      </w:r>
    </w:p>
    <w:p w14:paraId="4E1B006C" w14:textId="41B05734" w:rsidR="00BF02D1" w:rsidRDefault="00C23744">
      <w:pPr>
        <w:pStyle w:val="Titre2"/>
        <w:ind w:right="360"/>
      </w:pPr>
      <w:bookmarkStart w:id="54" w:name="_heading=h.3l18frh" w:colFirst="0" w:colLast="0"/>
      <w:bookmarkEnd w:id="54"/>
      <w:r>
        <w:rPr>
          <w:noProof/>
        </w:rPr>
        <w:lastRenderedPageBreak/>
        <w:drawing>
          <wp:anchor distT="0" distB="0" distL="0" distR="0" simplePos="0" relativeHeight="251692032" behindDoc="1" locked="0" layoutInCell="1" hidden="0" allowOverlap="1" wp14:anchorId="4E1B013D" wp14:editId="0A3B2373">
            <wp:simplePos x="0" y="0"/>
            <wp:positionH relativeFrom="page">
              <wp:posOffset>2056602</wp:posOffset>
            </wp:positionH>
            <wp:positionV relativeFrom="page">
              <wp:posOffset>706755</wp:posOffset>
            </wp:positionV>
            <wp:extent cx="4492625" cy="600075"/>
            <wp:effectExtent l="0" t="0" r="3175" b="0"/>
            <wp:wrapNone/>
            <wp:docPr id="130602839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492625" cy="600075"/>
                    </a:xfrm>
                    <a:prstGeom prst="rect">
                      <a:avLst/>
                    </a:prstGeom>
                    <a:ln/>
                  </pic:spPr>
                </pic:pic>
              </a:graphicData>
            </a:graphic>
          </wp:anchor>
        </w:drawing>
      </w:r>
      <w:r>
        <w:rPr>
          <w:noProof/>
        </w:rPr>
        <w:drawing>
          <wp:anchor distT="0" distB="0" distL="0" distR="0" simplePos="0" relativeHeight="251691008" behindDoc="1" locked="0" layoutInCell="1" hidden="0" allowOverlap="1" wp14:anchorId="4E1B013B" wp14:editId="250E486C">
            <wp:simplePos x="0" y="0"/>
            <wp:positionH relativeFrom="page">
              <wp:posOffset>4043045</wp:posOffset>
            </wp:positionH>
            <wp:positionV relativeFrom="page">
              <wp:posOffset>706592</wp:posOffset>
            </wp:positionV>
            <wp:extent cx="4492625" cy="600075"/>
            <wp:effectExtent l="0" t="0" r="3175" b="0"/>
            <wp:wrapNone/>
            <wp:docPr id="130602836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492625" cy="600075"/>
                    </a:xfrm>
                    <a:prstGeom prst="rect">
                      <a:avLst/>
                    </a:prstGeom>
                    <a:ln/>
                  </pic:spPr>
                </pic:pic>
              </a:graphicData>
            </a:graphic>
          </wp:anchor>
        </w:drawing>
      </w:r>
      <w:r>
        <w:t>Notes sur les communications et l’accueil</w:t>
      </w:r>
    </w:p>
    <w:p w14:paraId="4E1B006D" w14:textId="77777777" w:rsidR="00BF02D1" w:rsidRDefault="00000000">
      <w:pPr>
        <w:widowControl w:val="0"/>
        <w:jc w:val="left"/>
        <w:rPr>
          <w:color w:val="131A45"/>
        </w:rPr>
      </w:pPr>
      <w:r>
        <w:rPr>
          <w:color w:val="131A45"/>
        </w:rPr>
        <w:t>Nous l’avons déjà mentionné, cet outil se concentre sur la démarche d’accessibilité créative et non sur la logistique d’accueil des publics. Cependant, il reste important de rejoindre nos spectatrices et spectateurs comme il se doit, et de s’assurer qu’elles et ils pourront faire le chemin complet, de l’achat du billet à leur retour à la maison.</w:t>
      </w:r>
    </w:p>
    <w:p w14:paraId="4E1B006E" w14:textId="77777777" w:rsidR="00BF02D1" w:rsidRDefault="00000000">
      <w:pPr>
        <w:widowControl w:val="0"/>
        <w:spacing w:before="400"/>
        <w:jc w:val="left"/>
        <w:rPr>
          <w:color w:val="131A45"/>
        </w:rPr>
      </w:pPr>
      <w:r>
        <w:rPr>
          <w:color w:val="131A45"/>
        </w:rPr>
        <w:t xml:space="preserve">Il n’est pas nécessairement facile de savoir par où commencer, ni ce qui peut concrètement aider. Voici une liste de réflexions et de gestes qui peuvent être mis en place afin de favoriser une meilleure citoyenneté culturelle : </w:t>
      </w:r>
    </w:p>
    <w:p w14:paraId="4E1B006F" w14:textId="77777777" w:rsidR="00BF02D1" w:rsidRDefault="00000000">
      <w:pPr>
        <w:widowControl w:val="0"/>
        <w:numPr>
          <w:ilvl w:val="0"/>
          <w:numId w:val="54"/>
        </w:numPr>
        <w:spacing w:before="400"/>
        <w:jc w:val="left"/>
        <w:rPr>
          <w:color w:val="131A45"/>
        </w:rPr>
      </w:pPr>
      <w:r>
        <w:rPr>
          <w:color w:val="131A45"/>
        </w:rPr>
        <w:t xml:space="preserve">Garder en tête qu’un grand nombre de communautés dites marginalisées ont été omises d’une majorité d'événements pendant des décennies. Il y a tout un travail à faire afin d’inviter et d’accueillir respectueusement ces publics dans les espaces qui leur étaient hostiles il n’y a pas si longtemps. Les ressources, l’énergie et le temps doivent être focalisés sur cet objectif. </w:t>
      </w:r>
    </w:p>
    <w:p w14:paraId="4E1B0070" w14:textId="77777777" w:rsidR="00BF02D1" w:rsidRDefault="00000000">
      <w:pPr>
        <w:widowControl w:val="0"/>
        <w:numPr>
          <w:ilvl w:val="0"/>
          <w:numId w:val="56"/>
        </w:numPr>
        <w:jc w:val="left"/>
        <w:rPr>
          <w:color w:val="131A45"/>
        </w:rPr>
      </w:pPr>
      <w:r>
        <w:rPr>
          <w:color w:val="131A45"/>
        </w:rPr>
        <w:t xml:space="preserve">Réfléchir à une accessibilité suffisante de la promotion du spectacle, des réseaux sociaux à la publicité télévisuelle, et à ce que ces médias conviennent aux besoins visés. </w:t>
      </w:r>
    </w:p>
    <w:p w14:paraId="4E1B0071" w14:textId="77777777" w:rsidR="00BF02D1" w:rsidRDefault="00000000">
      <w:pPr>
        <w:numPr>
          <w:ilvl w:val="0"/>
          <w:numId w:val="56"/>
        </w:numPr>
        <w:rPr>
          <w:color w:val="131A45"/>
        </w:rPr>
      </w:pPr>
      <w:r>
        <w:rPr>
          <w:color w:val="131A45"/>
        </w:rPr>
        <w:t>S’assurer que les sites web et la billetterie sont complètement accessibles, pour que les gens puissent trouver l’information de manière autonome. Cela nécessite parfois de monter son propre système de billetterie, car ce ne sont pas toutes les billetteries numériques des diffuseurs qui sont accessibles ou possibles à lire avec les outils d'aide à l'accessibilité, comme les lecteurs d’écran.</w:t>
      </w:r>
    </w:p>
    <w:p w14:paraId="4E1B0072" w14:textId="77777777" w:rsidR="00BF02D1" w:rsidRDefault="00000000">
      <w:pPr>
        <w:widowControl w:val="0"/>
        <w:numPr>
          <w:ilvl w:val="0"/>
          <w:numId w:val="56"/>
        </w:numPr>
        <w:jc w:val="left"/>
        <w:rPr>
          <w:color w:val="131A45"/>
        </w:rPr>
      </w:pPr>
      <w:r>
        <w:rPr>
          <w:color w:val="131A45"/>
        </w:rPr>
        <w:t>Prévoir qu’une personne-ressource puisse être rejointe par téléphone, pour un support non numérique aux personnes qui en ont besoin.</w:t>
      </w:r>
    </w:p>
    <w:p w14:paraId="4E1B0073" w14:textId="77777777" w:rsidR="00BF02D1" w:rsidRDefault="00000000">
      <w:pPr>
        <w:widowControl w:val="0"/>
        <w:numPr>
          <w:ilvl w:val="0"/>
          <w:numId w:val="56"/>
        </w:numPr>
        <w:spacing w:before="200"/>
        <w:jc w:val="left"/>
        <w:rPr>
          <w:color w:val="131A45"/>
        </w:rPr>
      </w:pPr>
      <w:r>
        <w:rPr>
          <w:color w:val="131A45"/>
        </w:rPr>
        <w:t>Avoir des prix qui correspondent à la réalité des gens de diverses communautés, quand cela est possible. L’accessibilité financière, c’est-à-dire le souci du coût de l’événement, est un enjeu crucial à l’accès aux arts vivants.</w:t>
      </w:r>
    </w:p>
    <w:p w14:paraId="4E1B0074" w14:textId="77777777" w:rsidR="00BF02D1" w:rsidRDefault="00000000">
      <w:pPr>
        <w:widowControl w:val="0"/>
        <w:numPr>
          <w:ilvl w:val="0"/>
          <w:numId w:val="56"/>
        </w:numPr>
        <w:spacing w:before="200"/>
        <w:jc w:val="left"/>
        <w:rPr>
          <w:color w:val="131A45"/>
        </w:rPr>
      </w:pPr>
      <w:r>
        <w:rPr>
          <w:color w:val="131A45"/>
        </w:rPr>
        <w:lastRenderedPageBreak/>
        <w:t xml:space="preserve">Offrir le billet gratuitement pour les accompagnatrices et accompagnateurs, personnes essentielles à la participation de plusieurs personnes dites de la diversité fonctionnelle. Il existe d’ailleurs certains programmes pour soutenir financièrement ces initiatives. </w:t>
      </w:r>
    </w:p>
    <w:p w14:paraId="4E1B0075" w14:textId="77777777" w:rsidR="00BF02D1" w:rsidRDefault="00000000">
      <w:pPr>
        <w:widowControl w:val="0"/>
        <w:numPr>
          <w:ilvl w:val="0"/>
          <w:numId w:val="56"/>
        </w:numPr>
        <w:jc w:val="left"/>
        <w:rPr>
          <w:color w:val="131A45"/>
        </w:rPr>
      </w:pPr>
      <w:r>
        <w:rPr>
          <w:color w:val="131A45"/>
        </w:rPr>
        <w:t>Informer les équipes, ainsi que les spectatrices et spectateurs, des systèmes d’accessibilité mis en place avant leur arrivée pour qu’</w:t>
      </w:r>
      <w:proofErr w:type="spellStart"/>
      <w:r>
        <w:rPr>
          <w:color w:val="131A45"/>
        </w:rPr>
        <w:t>iels</w:t>
      </w:r>
      <w:proofErr w:type="spellEnd"/>
      <w:r>
        <w:rPr>
          <w:color w:val="131A45"/>
        </w:rPr>
        <w:t xml:space="preserve"> puissent prendre leur décision en connaissance de leurs besoins. </w:t>
      </w:r>
    </w:p>
    <w:p w14:paraId="4E1B0076" w14:textId="77777777" w:rsidR="00BF02D1" w:rsidRDefault="00000000">
      <w:pPr>
        <w:widowControl w:val="0"/>
        <w:numPr>
          <w:ilvl w:val="0"/>
          <w:numId w:val="56"/>
        </w:numPr>
        <w:jc w:val="left"/>
        <w:rPr>
          <w:color w:val="131A45"/>
        </w:rPr>
      </w:pPr>
      <w:r>
        <w:rPr>
          <w:color w:val="131A45"/>
        </w:rPr>
        <w:t xml:space="preserve">Dans ses communications au public, préciser l’environnement du lieu, comme l’emplacement des débarcadères, les métros et lignes d’autobus ou les travaux à proximité. </w:t>
      </w:r>
    </w:p>
    <w:p w14:paraId="4E1B0077" w14:textId="77777777" w:rsidR="00BF02D1" w:rsidRDefault="00000000">
      <w:pPr>
        <w:widowControl w:val="0"/>
        <w:numPr>
          <w:ilvl w:val="0"/>
          <w:numId w:val="56"/>
        </w:numPr>
        <w:jc w:val="left"/>
        <w:rPr>
          <w:color w:val="131A45"/>
        </w:rPr>
      </w:pPr>
      <w:r>
        <w:rPr>
          <w:color w:val="131A45"/>
        </w:rPr>
        <w:t>Prévoir des sièges réservés spécifiques selon les besoins. Par exemple, un espace réservé aux personnes dites à mobilité réduite, des sièges identifiés qui permettent une meilleure lecture des surtitres, des sièges plus larges pour les personnes qui en ont besoin, des sièges réservés plus proches pour les personnes avec troubles auditifs, des sièges donnant sur l’allée pour les personnes qui ont besoin de pouvoir sortir plus facilement, etc.</w:t>
      </w:r>
    </w:p>
    <w:p w14:paraId="4E1B0078" w14:textId="77777777" w:rsidR="00BF02D1" w:rsidRDefault="00000000">
      <w:pPr>
        <w:widowControl w:val="0"/>
        <w:numPr>
          <w:ilvl w:val="0"/>
          <w:numId w:val="56"/>
        </w:numPr>
        <w:jc w:val="left"/>
        <w:rPr>
          <w:color w:val="131A45"/>
        </w:rPr>
      </w:pPr>
      <w:r>
        <w:rPr>
          <w:color w:val="131A45"/>
        </w:rPr>
        <w:t>Défendre, auprès des diffuseurs, qu’une ou deux places réservées pour les besoins des personnes dites de la diversité fonctionnelle dans une salle n’est pas suffisant si le but d’un événement est d’être accessible.</w:t>
      </w:r>
    </w:p>
    <w:p w14:paraId="4E1B0079" w14:textId="77777777" w:rsidR="00BF02D1" w:rsidRDefault="00000000">
      <w:pPr>
        <w:widowControl w:val="0"/>
        <w:numPr>
          <w:ilvl w:val="0"/>
          <w:numId w:val="56"/>
        </w:numPr>
        <w:jc w:val="left"/>
        <w:rPr>
          <w:color w:val="131A45"/>
        </w:rPr>
      </w:pPr>
      <w:r>
        <w:rPr>
          <w:color w:val="131A45"/>
        </w:rPr>
        <w:t xml:space="preserve">Avoir du personnel formé dans vos équipes, qui pourra être disponible avant, pendant et après l’évènement pour aider en toutes circonstances. </w:t>
      </w:r>
    </w:p>
    <w:p w14:paraId="4E1B007A" w14:textId="77777777" w:rsidR="00BF02D1" w:rsidRDefault="00000000">
      <w:pPr>
        <w:numPr>
          <w:ilvl w:val="0"/>
          <w:numId w:val="56"/>
        </w:numPr>
        <w:rPr>
          <w:color w:val="131A45"/>
        </w:rPr>
      </w:pPr>
      <w:r>
        <w:rPr>
          <w:color w:val="131A45"/>
        </w:rPr>
        <w:t>Consacrer du temps à la sensibilisation. S’engager dans l’accessibilité signifie qu’il risque d’y avoir de l’inconfort pour les spectatrices et spectateurs qui n’ont pas les mêmes besoins et qu’elles et ils pourront même montrer du mécontentement. Ceci peut rendre l’atmosphère désagréable pour tout le monde. Il est important de participer à dissiper les incompréhensions.</w:t>
      </w:r>
    </w:p>
    <w:p w14:paraId="4E1B007B" w14:textId="77777777" w:rsidR="00BF02D1" w:rsidRDefault="00000000">
      <w:pPr>
        <w:widowControl w:val="0"/>
        <w:numPr>
          <w:ilvl w:val="0"/>
          <w:numId w:val="56"/>
        </w:numPr>
        <w:spacing w:after="240"/>
        <w:jc w:val="left"/>
        <w:rPr>
          <w:color w:val="131A45"/>
        </w:rPr>
      </w:pPr>
      <w:r>
        <w:rPr>
          <w:color w:val="131A45"/>
        </w:rPr>
        <w:t>Stipuler clairement la durée de la représentation.</w:t>
      </w:r>
    </w:p>
    <w:p w14:paraId="4E1B007C" w14:textId="77777777" w:rsidR="00BF02D1" w:rsidRDefault="00000000">
      <w:pPr>
        <w:widowControl w:val="0"/>
        <w:numPr>
          <w:ilvl w:val="0"/>
          <w:numId w:val="56"/>
        </w:numPr>
        <w:spacing w:after="200"/>
        <w:jc w:val="left"/>
        <w:rPr>
          <w:color w:val="131A45"/>
        </w:rPr>
      </w:pPr>
      <w:r>
        <w:rPr>
          <w:color w:val="131A45"/>
        </w:rPr>
        <w:t xml:space="preserve">Ne pas pénaliser les personnes demandant un changement d’horaire ou de représentation, quand cela est possible. Ce manque de flexibilité empêche </w:t>
      </w:r>
      <w:r>
        <w:rPr>
          <w:color w:val="131A45"/>
        </w:rPr>
        <w:lastRenderedPageBreak/>
        <w:t xml:space="preserve">plusieurs personnes de participer à des activités culturelles, car elles ne peuvent généralement pas planifier d’avance leur état de santé ou leurs obligations. </w:t>
      </w:r>
    </w:p>
    <w:p w14:paraId="4E1B007D" w14:textId="77777777" w:rsidR="00BF02D1" w:rsidRDefault="00000000">
      <w:pPr>
        <w:widowControl w:val="0"/>
        <w:numPr>
          <w:ilvl w:val="0"/>
          <w:numId w:val="56"/>
        </w:numPr>
        <w:spacing w:before="200"/>
        <w:jc w:val="left"/>
        <w:rPr>
          <w:color w:val="131A45"/>
        </w:rPr>
      </w:pPr>
      <w:r>
        <w:rPr>
          <w:color w:val="131A45"/>
        </w:rPr>
        <w:t>Admettre les retardataires lors des représentations et activités connexes, ce qui facilite la participation et atténue beaucoup le stress lié aux imprévus indissociables des enjeux d’accessibilité, comme l’incertitude entourant les transports adaptés, par exemple.</w:t>
      </w:r>
    </w:p>
    <w:p w14:paraId="4E1B007E" w14:textId="77777777" w:rsidR="00BF02D1" w:rsidRDefault="00000000">
      <w:pPr>
        <w:widowControl w:val="0"/>
        <w:numPr>
          <w:ilvl w:val="0"/>
          <w:numId w:val="56"/>
        </w:numPr>
        <w:spacing w:after="200"/>
        <w:jc w:val="left"/>
        <w:rPr>
          <w:color w:val="131A45"/>
        </w:rPr>
      </w:pPr>
      <w:r>
        <w:rPr>
          <w:color w:val="131A45"/>
        </w:rPr>
        <w:t xml:space="preserve">Mentionner en début de représentation la possibilité de sortir pendant le spectacle. Même si évidemment personne n’est emprisonné dans une salle culturelle, il n’en demeure pas moins qu’il est mal vu de bouger et d'entrer ou de sortir de la salle, comme on le fait au cinéma. Pourtant, cela peut être nécessaire ou pratique pour certaines personnes. </w:t>
      </w:r>
    </w:p>
    <w:p w14:paraId="4E1B007F" w14:textId="77777777" w:rsidR="00BF02D1" w:rsidRDefault="00000000">
      <w:pPr>
        <w:widowControl w:val="0"/>
        <w:numPr>
          <w:ilvl w:val="0"/>
          <w:numId w:val="54"/>
        </w:numPr>
        <w:jc w:val="left"/>
        <w:rPr>
          <w:color w:val="131A45"/>
        </w:rPr>
      </w:pPr>
      <w:r>
        <w:rPr>
          <w:color w:val="131A45"/>
        </w:rPr>
        <w:t xml:space="preserve">Inclure un système de commande visuelle à pointer au bar et des prix inscrits clairement, ce qui permet de commander sans parler, au besoin. </w:t>
      </w:r>
    </w:p>
    <w:p w14:paraId="4E1B0080" w14:textId="77777777" w:rsidR="00BF02D1" w:rsidRDefault="00000000">
      <w:pPr>
        <w:widowControl w:val="0"/>
        <w:numPr>
          <w:ilvl w:val="0"/>
          <w:numId w:val="54"/>
        </w:numPr>
        <w:jc w:val="left"/>
        <w:rPr>
          <w:color w:val="131A45"/>
        </w:rPr>
      </w:pPr>
      <w:r>
        <w:rPr>
          <w:color w:val="131A45"/>
        </w:rPr>
        <w:t xml:space="preserve">Réfléchir à l’après-représentation. Il n’est pas rare que le transport adapté soit en retard ou ait été prévu pour plus tard, pour s’assurer de ne pas le rater. Au lieu de laisser les gens attendre dehors ou dans l’entrée, quelle que soit les conditions météo, on peut prévoir des solutions simples comme un lieu d’attente où on trouvera de l’eau, des sièges confortables et un peu de musique. </w:t>
      </w:r>
    </w:p>
    <w:p w14:paraId="4E1B0081" w14:textId="77777777" w:rsidR="00BF02D1" w:rsidRDefault="00000000">
      <w:pPr>
        <w:widowControl w:val="0"/>
        <w:spacing w:before="400"/>
        <w:jc w:val="left"/>
        <w:rPr>
          <w:i/>
          <w:color w:val="131A45"/>
        </w:rPr>
      </w:pPr>
      <w:r>
        <w:rPr>
          <w:color w:val="131A45"/>
        </w:rPr>
        <w:t xml:space="preserve">Pour plus d’informations sur l'accueil et les communications, nous vous invitons à consulter notre liste de plusieurs outils disponibles, que vous trouverez sur notre site : </w:t>
      </w:r>
      <w:hyperlink r:id="rId19">
        <w:r w:rsidR="00BF02D1">
          <w:rPr>
            <w:i/>
            <w:color w:val="131A45"/>
            <w:u w:val="single"/>
          </w:rPr>
          <w:t>www.theatredechaines.com/ressources</w:t>
        </w:r>
      </w:hyperlink>
    </w:p>
    <w:p w14:paraId="4E1B0082" w14:textId="77777777" w:rsidR="00BF02D1" w:rsidRDefault="00000000">
      <w:pPr>
        <w:widowControl w:val="0"/>
        <w:spacing w:before="400"/>
        <w:jc w:val="left"/>
        <w:rPr>
          <w:color w:val="131A45"/>
        </w:rPr>
      </w:pPr>
      <w:r>
        <w:rPr>
          <w:color w:val="131A45"/>
        </w:rPr>
        <w:t>Vous pouvez aussi consulter l’</w:t>
      </w:r>
      <w:hyperlink w:anchor="_heading=h.25b2l0r">
        <w:r w:rsidR="00BF02D1">
          <w:rPr>
            <w:i/>
            <w:color w:val="131A45"/>
            <w:u w:val="single"/>
          </w:rPr>
          <w:t>Annexe 3 - Schéma d’accessibilité</w:t>
        </w:r>
      </w:hyperlink>
      <w:r>
        <w:rPr>
          <w:color w:val="131A45"/>
        </w:rPr>
        <w:t>, pour avoir accès à un graphique de recommandations en accessibilité, résultant des recherches d’Eveline Payette-</w:t>
      </w:r>
      <w:proofErr w:type="spellStart"/>
      <w:r>
        <w:rPr>
          <w:color w:val="131A45"/>
        </w:rPr>
        <w:t>Dalpé</w:t>
      </w:r>
      <w:proofErr w:type="spellEnd"/>
      <w:r>
        <w:rPr>
          <w:color w:val="131A45"/>
        </w:rPr>
        <w:t xml:space="preserve">, doctorante en études et pratiques des arts à l’Université du Québec à Montréal. Dans le contexte de sa thèse, elle a mené une importante étude de l’accessibilité des lieux culturels, menant à de nombreuses recommandations pertinentes pour créer un accueil plus adéquat des communautés dites marginalisées. </w:t>
      </w:r>
    </w:p>
    <w:p w14:paraId="4E1B0083" w14:textId="5EC6E57B" w:rsidR="00BF02D1" w:rsidRDefault="00C23744">
      <w:pPr>
        <w:pStyle w:val="Titre2"/>
        <w:ind w:right="360"/>
      </w:pPr>
      <w:bookmarkStart w:id="55" w:name="_heading=h.206ipza" w:colFirst="0" w:colLast="0"/>
      <w:bookmarkEnd w:id="55"/>
      <w:r>
        <w:rPr>
          <w:noProof/>
        </w:rPr>
        <w:lastRenderedPageBreak/>
        <w:drawing>
          <wp:anchor distT="0" distB="0" distL="0" distR="0" simplePos="0" relativeHeight="251694080" behindDoc="1" locked="0" layoutInCell="1" hidden="0" allowOverlap="1" wp14:anchorId="4E1B0141" wp14:editId="5B96F67C">
            <wp:simplePos x="0" y="0"/>
            <wp:positionH relativeFrom="page">
              <wp:posOffset>4019550</wp:posOffset>
            </wp:positionH>
            <wp:positionV relativeFrom="page">
              <wp:posOffset>699135</wp:posOffset>
            </wp:positionV>
            <wp:extent cx="4492625" cy="600075"/>
            <wp:effectExtent l="0" t="0" r="3175" b="0"/>
            <wp:wrapNone/>
            <wp:docPr id="130602840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492625" cy="600075"/>
                    </a:xfrm>
                    <a:prstGeom prst="rect">
                      <a:avLst/>
                    </a:prstGeom>
                    <a:ln/>
                  </pic:spPr>
                </pic:pic>
              </a:graphicData>
            </a:graphic>
          </wp:anchor>
        </w:drawing>
      </w:r>
      <w:r>
        <w:rPr>
          <w:noProof/>
        </w:rPr>
        <w:drawing>
          <wp:anchor distT="0" distB="0" distL="0" distR="0" simplePos="0" relativeHeight="251693056" behindDoc="1" locked="0" layoutInCell="1" hidden="0" allowOverlap="1" wp14:anchorId="4E1B013F" wp14:editId="0F5E8A63">
            <wp:simplePos x="0" y="0"/>
            <wp:positionH relativeFrom="page">
              <wp:posOffset>2273935</wp:posOffset>
            </wp:positionH>
            <wp:positionV relativeFrom="page">
              <wp:posOffset>698663</wp:posOffset>
            </wp:positionV>
            <wp:extent cx="4492625" cy="600075"/>
            <wp:effectExtent l="0" t="0" r="3175" b="0"/>
            <wp:wrapNone/>
            <wp:docPr id="13060283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492625" cy="600075"/>
                    </a:xfrm>
                    <a:prstGeom prst="rect">
                      <a:avLst/>
                    </a:prstGeom>
                    <a:ln/>
                  </pic:spPr>
                </pic:pic>
              </a:graphicData>
            </a:graphic>
          </wp:anchor>
        </w:drawing>
      </w:r>
      <w:r>
        <w:t>Financement en accessibilité culturelle</w:t>
      </w:r>
    </w:p>
    <w:p w14:paraId="4E1B0084" w14:textId="77777777" w:rsidR="00BF02D1" w:rsidRDefault="00000000">
      <w:pPr>
        <w:widowControl w:val="0"/>
        <w:jc w:val="left"/>
        <w:rPr>
          <w:color w:val="131A45"/>
        </w:rPr>
      </w:pPr>
      <w:r>
        <w:rPr>
          <w:color w:val="131A45"/>
        </w:rPr>
        <w:t>Qu’on le veuille ou non, le financement demeure un des plus grands freins aux possibilités créatives et à nos projets. Impossible de penser autrement dans le contexte des arts vivants.</w:t>
      </w:r>
    </w:p>
    <w:p w14:paraId="4E1B0085" w14:textId="77777777" w:rsidR="00BF02D1" w:rsidRDefault="00000000">
      <w:pPr>
        <w:widowControl w:val="0"/>
        <w:spacing w:before="400"/>
        <w:jc w:val="left"/>
        <w:rPr>
          <w:color w:val="131A45"/>
        </w:rPr>
      </w:pPr>
      <w:r>
        <w:rPr>
          <w:color w:val="131A45"/>
        </w:rPr>
        <w:t>Autrement dit, des sous, ça paye les ressources humaines, le matériel et le temps. Une accessibilité adéquate demande une importante quantité de ces ressources.</w:t>
      </w:r>
    </w:p>
    <w:p w14:paraId="4E1B0086" w14:textId="77777777" w:rsidR="00BF02D1" w:rsidRDefault="00000000">
      <w:pPr>
        <w:widowControl w:val="0"/>
        <w:spacing w:before="400"/>
        <w:jc w:val="left"/>
        <w:rPr>
          <w:color w:val="131A45"/>
        </w:rPr>
      </w:pPr>
      <w:r>
        <w:rPr>
          <w:color w:val="131A45"/>
        </w:rPr>
        <w:t xml:space="preserve">Voici un survol des financements présentement disponibles en accessibilité culturelle au Québec en 2025 ainsi que quelques conseils. </w:t>
      </w:r>
    </w:p>
    <w:p w14:paraId="4E1B0087" w14:textId="77777777" w:rsidR="00BF02D1" w:rsidRDefault="00000000">
      <w:pPr>
        <w:pStyle w:val="Titre3"/>
      </w:pPr>
      <w:bookmarkStart w:id="56" w:name="_heading=h.4k668n3" w:colFirst="0" w:colLast="0"/>
      <w:bookmarkEnd w:id="56"/>
      <w:r>
        <w:t>TYPES DE FINANCEMENT</w:t>
      </w:r>
    </w:p>
    <w:p w14:paraId="4E1B0088" w14:textId="77777777" w:rsidR="00BF02D1" w:rsidRDefault="00000000">
      <w:pPr>
        <w:widowControl w:val="0"/>
        <w:spacing w:before="400"/>
        <w:jc w:val="left"/>
        <w:rPr>
          <w:color w:val="131A45"/>
        </w:rPr>
      </w:pPr>
      <w:r>
        <w:rPr>
          <w:rFonts w:ascii="Lexend SemiBold" w:eastAsia="Lexend SemiBold" w:hAnsi="Lexend SemiBold" w:cs="Lexend SemiBold"/>
          <w:color w:val="131A45"/>
        </w:rPr>
        <w:t>Frais d’accès</w:t>
      </w:r>
      <w:r>
        <w:rPr>
          <w:color w:val="131A45"/>
        </w:rPr>
        <w:t xml:space="preserve"> : Financement complémentaire visant à financer les divers frais liés à l’accessibilité (dont les exemples incluent, mais ne se limitent pas à, des interprètes LSQ, un sous-titrage, des transports adaptés, etc.)</w:t>
      </w:r>
    </w:p>
    <w:p w14:paraId="4E1B0089" w14:textId="77777777" w:rsidR="00BF02D1" w:rsidRDefault="00000000">
      <w:pPr>
        <w:widowControl w:val="0"/>
        <w:numPr>
          <w:ilvl w:val="0"/>
          <w:numId w:val="4"/>
        </w:numPr>
        <w:spacing w:before="200" w:after="200"/>
        <w:jc w:val="left"/>
        <w:rPr>
          <w:color w:val="131A45"/>
        </w:rPr>
      </w:pPr>
      <w:r>
        <w:rPr>
          <w:color w:val="131A45"/>
        </w:rPr>
        <w:t>Relevant des Conseils des arts, ces frais peuvent couvrir l’accessibilité des artistes dits de la diversité fonctionnelle et/ou l’accessibilité des publics dits marginalisés. Chaque programme fonctionne de façon différente, mais on peut trouver de l’information sur leur site web ou auprès des agents de programmes.</w:t>
      </w:r>
    </w:p>
    <w:p w14:paraId="4E1B008A" w14:textId="77777777" w:rsidR="00BF02D1" w:rsidRDefault="00000000">
      <w:pPr>
        <w:widowControl w:val="0"/>
        <w:spacing w:before="600"/>
        <w:jc w:val="left"/>
        <w:rPr>
          <w:color w:val="131A45"/>
        </w:rPr>
      </w:pPr>
      <w:r>
        <w:rPr>
          <w:rFonts w:ascii="Lexend SemiBold" w:eastAsia="Lexend SemiBold" w:hAnsi="Lexend SemiBold" w:cs="Lexend SemiBold"/>
          <w:color w:val="131A45"/>
        </w:rPr>
        <w:t>Conseils des arts</w:t>
      </w:r>
      <w:r>
        <w:rPr>
          <w:color w:val="131A45"/>
        </w:rPr>
        <w:t xml:space="preserve"> : Financement à travers les programmes courants des Conseils des arts, comme ceux de recherche, de production ou de diffusion</w:t>
      </w:r>
    </w:p>
    <w:p w14:paraId="4E1B008B" w14:textId="77777777" w:rsidR="00BF02D1" w:rsidRDefault="00000000">
      <w:pPr>
        <w:widowControl w:val="0"/>
        <w:numPr>
          <w:ilvl w:val="0"/>
          <w:numId w:val="57"/>
        </w:numPr>
        <w:jc w:val="left"/>
        <w:rPr>
          <w:color w:val="131A45"/>
        </w:rPr>
      </w:pPr>
      <w:r>
        <w:rPr>
          <w:color w:val="131A45"/>
        </w:rPr>
        <w:t>Il est toujours possible d’ajouter des dépenses d’accessibilité directement dans le budget de subvention, en les justifiant avec la démarche de votre projet. Cependant, les subventions ayant une limite financière, l’ajout de ces dépenses dans le même budget signifie habituellement moins d’argent pour le reste.</w:t>
      </w:r>
    </w:p>
    <w:p w14:paraId="4E1B008C" w14:textId="77777777" w:rsidR="00BF02D1" w:rsidRDefault="00000000">
      <w:pPr>
        <w:widowControl w:val="0"/>
        <w:jc w:val="left"/>
        <w:rPr>
          <w:color w:val="131A45"/>
        </w:rPr>
      </w:pPr>
      <w:r>
        <w:rPr>
          <w:rFonts w:ascii="Lexend SemiBold" w:eastAsia="Lexend SemiBold" w:hAnsi="Lexend SemiBold" w:cs="Lexend SemiBold"/>
          <w:color w:val="131A45"/>
        </w:rPr>
        <w:lastRenderedPageBreak/>
        <w:t xml:space="preserve">Subventions spécialisées en accessibilité </w:t>
      </w:r>
      <w:r>
        <w:rPr>
          <w:color w:val="131A45"/>
        </w:rPr>
        <w:t>: Financement par des programmes particuliers, habituellement ponctuels, des Conseils des arts et des municipalités</w:t>
      </w:r>
    </w:p>
    <w:p w14:paraId="4E1B008D" w14:textId="77777777" w:rsidR="00BF02D1" w:rsidRDefault="00000000">
      <w:pPr>
        <w:widowControl w:val="0"/>
        <w:numPr>
          <w:ilvl w:val="0"/>
          <w:numId w:val="39"/>
        </w:numPr>
        <w:jc w:val="left"/>
        <w:rPr>
          <w:color w:val="131A45"/>
        </w:rPr>
      </w:pPr>
      <w:r>
        <w:rPr>
          <w:color w:val="131A45"/>
        </w:rPr>
        <w:t>Ces programmes ne sont pas très fréquents et demandent parfois des critères d’administrations spécifiques, mais peuvent fournir un soutien solide à plusieurs projets en accessibilité créative.</w:t>
      </w:r>
    </w:p>
    <w:p w14:paraId="4E1B008E" w14:textId="77777777" w:rsidR="00BF02D1" w:rsidRDefault="00000000">
      <w:pPr>
        <w:widowControl w:val="0"/>
        <w:spacing w:before="600"/>
        <w:jc w:val="left"/>
        <w:rPr>
          <w:color w:val="131A45"/>
        </w:rPr>
      </w:pPr>
      <w:r>
        <w:rPr>
          <w:rFonts w:ascii="Lexend SemiBold" w:eastAsia="Lexend SemiBold" w:hAnsi="Lexend SemiBold" w:cs="Lexend SemiBold"/>
          <w:color w:val="131A45"/>
        </w:rPr>
        <w:t>Ministères</w:t>
      </w:r>
      <w:r>
        <w:rPr>
          <w:b/>
          <w:color w:val="131A45"/>
        </w:rPr>
        <w:t xml:space="preserve"> :</w:t>
      </w:r>
      <w:r>
        <w:rPr>
          <w:color w:val="131A45"/>
        </w:rPr>
        <w:t xml:space="preserve"> Financement par les programmes ponctuels ou annuels des divers ministères provinciaux et fédéraux</w:t>
      </w:r>
    </w:p>
    <w:p w14:paraId="4E1B008F" w14:textId="77777777" w:rsidR="00BF02D1" w:rsidRDefault="00000000">
      <w:pPr>
        <w:widowControl w:val="0"/>
        <w:numPr>
          <w:ilvl w:val="0"/>
          <w:numId w:val="23"/>
        </w:numPr>
        <w:jc w:val="left"/>
        <w:rPr>
          <w:color w:val="131A45"/>
        </w:rPr>
      </w:pPr>
      <w:r>
        <w:rPr>
          <w:color w:val="131A45"/>
        </w:rPr>
        <w:t xml:space="preserve">Un des secrets les plus sous-estimés, à notre humble avis, du financement en culture : presque tous les ministères affichent des offres de financement sur leur site web, qui sont parfois spécifiquement créées pour les projets en accessibilité. </w:t>
      </w:r>
    </w:p>
    <w:p w14:paraId="4E1B0090" w14:textId="77777777" w:rsidR="00BF02D1" w:rsidRDefault="00000000">
      <w:pPr>
        <w:widowControl w:val="0"/>
        <w:numPr>
          <w:ilvl w:val="0"/>
          <w:numId w:val="23"/>
        </w:numPr>
        <w:jc w:val="left"/>
        <w:rPr>
          <w:color w:val="131A45"/>
        </w:rPr>
      </w:pPr>
      <w:r>
        <w:rPr>
          <w:color w:val="131A45"/>
        </w:rPr>
        <w:t xml:space="preserve">Sortez des sentiers habituels : il y a parfois d’excellents programmes offerts par des ministères qui n’ont rien à voir avec la culture. </w:t>
      </w:r>
    </w:p>
    <w:p w14:paraId="4E1B0091" w14:textId="77777777" w:rsidR="00BF02D1" w:rsidRDefault="00000000">
      <w:pPr>
        <w:widowControl w:val="0"/>
        <w:spacing w:before="600"/>
        <w:jc w:val="left"/>
        <w:rPr>
          <w:color w:val="131A45"/>
        </w:rPr>
      </w:pPr>
      <w:r>
        <w:rPr>
          <w:rFonts w:ascii="Lexend SemiBold" w:eastAsia="Lexend SemiBold" w:hAnsi="Lexend SemiBold" w:cs="Lexend SemiBold"/>
          <w:color w:val="131A45"/>
        </w:rPr>
        <w:t>Partenariats</w:t>
      </w:r>
      <w:r>
        <w:rPr>
          <w:b/>
          <w:color w:val="131A45"/>
        </w:rPr>
        <w:t xml:space="preserve"> </w:t>
      </w:r>
      <w:r>
        <w:rPr>
          <w:color w:val="131A45"/>
        </w:rPr>
        <w:t>: Financement en services, matériel ou savoirs qui permet de réduire les coûts d’un projet artistique</w:t>
      </w:r>
    </w:p>
    <w:p w14:paraId="4E1B0092" w14:textId="77777777" w:rsidR="00BF02D1" w:rsidRDefault="00000000">
      <w:pPr>
        <w:widowControl w:val="0"/>
        <w:numPr>
          <w:ilvl w:val="0"/>
          <w:numId w:val="41"/>
        </w:numPr>
        <w:jc w:val="left"/>
        <w:rPr>
          <w:color w:val="131A45"/>
        </w:rPr>
      </w:pPr>
      <w:r>
        <w:rPr>
          <w:color w:val="131A45"/>
        </w:rPr>
        <w:t xml:space="preserve">S’allier à des organismes pertinents pour notre projet s’avère souvent une excellente avenue à visiter, et très appréciée par plusieurs bailleurs de fonds. N’oubliez pas néanmoins qu’un partenariat ne devrait pas miser juste sur ce que vous recevez, mais aussi ce que vous contribuez. </w:t>
      </w:r>
    </w:p>
    <w:p w14:paraId="4E1B0093" w14:textId="77777777" w:rsidR="00BF02D1" w:rsidRDefault="00000000">
      <w:pPr>
        <w:widowControl w:val="0"/>
        <w:spacing w:before="600"/>
        <w:jc w:val="left"/>
        <w:rPr>
          <w:color w:val="131A45"/>
        </w:rPr>
      </w:pPr>
      <w:r>
        <w:rPr>
          <w:rFonts w:ascii="Lexend SemiBold" w:eastAsia="Lexend SemiBold" w:hAnsi="Lexend SemiBold" w:cs="Lexend SemiBold"/>
          <w:color w:val="131A45"/>
        </w:rPr>
        <w:t>Fondations</w:t>
      </w:r>
      <w:r>
        <w:rPr>
          <w:color w:val="131A45"/>
        </w:rPr>
        <w:t xml:space="preserve"> : Financement par une des 1200 fondations privées et publiques disponibles au Québec</w:t>
      </w:r>
    </w:p>
    <w:p w14:paraId="4E1B0094" w14:textId="77777777" w:rsidR="00BF02D1" w:rsidRDefault="00000000">
      <w:pPr>
        <w:widowControl w:val="0"/>
        <w:numPr>
          <w:ilvl w:val="0"/>
          <w:numId w:val="50"/>
        </w:numPr>
        <w:jc w:val="left"/>
        <w:rPr>
          <w:color w:val="131A45"/>
        </w:rPr>
      </w:pPr>
      <w:r>
        <w:rPr>
          <w:color w:val="131A45"/>
        </w:rPr>
        <w:t xml:space="preserve">Historiquement, les fondations ne pouvaient donner qu’à des organismes de bienfaisance reconnus, mais depuis 2024, l’Agence du revenu du Canada a dévoilé une série de recommandations qui permettent aux fondations de donner aussi aux organismes sans but lucratif (OSBL) et aux autres types de regroupements. </w:t>
      </w:r>
    </w:p>
    <w:p w14:paraId="4E1B0095" w14:textId="77777777" w:rsidR="00BF02D1" w:rsidRDefault="00000000">
      <w:pPr>
        <w:widowControl w:val="0"/>
        <w:spacing w:before="600"/>
        <w:jc w:val="left"/>
        <w:rPr>
          <w:color w:val="131A45"/>
        </w:rPr>
      </w:pPr>
      <w:r>
        <w:rPr>
          <w:rFonts w:ascii="Lexend SemiBold" w:eastAsia="Lexend SemiBold" w:hAnsi="Lexend SemiBold" w:cs="Lexend SemiBold"/>
          <w:color w:val="131A45"/>
        </w:rPr>
        <w:lastRenderedPageBreak/>
        <w:t>Commandites + dons privés</w:t>
      </w:r>
      <w:r>
        <w:rPr>
          <w:color w:val="131A45"/>
        </w:rPr>
        <w:t xml:space="preserve"> : Financement à travers des compagnies privées et des dons de particuliers</w:t>
      </w:r>
    </w:p>
    <w:p w14:paraId="4E1B0096" w14:textId="77777777" w:rsidR="00BF02D1" w:rsidRDefault="00000000">
      <w:pPr>
        <w:widowControl w:val="0"/>
        <w:numPr>
          <w:ilvl w:val="0"/>
          <w:numId w:val="62"/>
        </w:numPr>
        <w:jc w:val="left"/>
        <w:rPr>
          <w:color w:val="131A45"/>
        </w:rPr>
      </w:pPr>
      <w:r>
        <w:rPr>
          <w:color w:val="131A45"/>
        </w:rPr>
        <w:t>Un grand nombre de compagnies ont des programmes de dons et de commandites avec des cibles particulières. L’accessibilité et le soutien aux communautés dites marginalisées figurent souvent dans leurs priorités.</w:t>
      </w:r>
    </w:p>
    <w:p w14:paraId="4E1B0097" w14:textId="77777777" w:rsidR="00BF02D1" w:rsidRDefault="00000000">
      <w:pPr>
        <w:pStyle w:val="Titre3"/>
      </w:pPr>
      <w:bookmarkStart w:id="57" w:name="_heading=h.2zbgiuw" w:colFirst="0" w:colLast="0"/>
      <w:bookmarkEnd w:id="57"/>
      <w:r>
        <w:t xml:space="preserve">QUELQUES CONSEILS POUR VOS DEMANDES DE FINANCEMENT </w:t>
      </w:r>
    </w:p>
    <w:p w14:paraId="4E1B0098" w14:textId="77777777" w:rsidR="00BF02D1" w:rsidRDefault="00000000">
      <w:pPr>
        <w:widowControl w:val="0"/>
        <w:numPr>
          <w:ilvl w:val="0"/>
          <w:numId w:val="27"/>
        </w:numPr>
        <w:spacing w:before="400"/>
        <w:jc w:val="left"/>
        <w:rPr>
          <w:color w:val="131A45"/>
        </w:rPr>
      </w:pPr>
      <w:r>
        <w:rPr>
          <w:color w:val="131A45"/>
        </w:rPr>
        <w:t xml:space="preserve">Plusieurs des enjeux relatifs à l’accessibilité sont peu ou pas connus de la population et possiblement des membres d’un jury de subventions. Prenez le temps, dans vos dépôts, de bien expliquer les besoins et solutions envisagées. </w:t>
      </w:r>
    </w:p>
    <w:p w14:paraId="4E1B0099" w14:textId="77777777" w:rsidR="00BF02D1" w:rsidRDefault="00000000">
      <w:pPr>
        <w:widowControl w:val="0"/>
        <w:numPr>
          <w:ilvl w:val="0"/>
          <w:numId w:val="27"/>
        </w:numPr>
        <w:jc w:val="left"/>
        <w:rPr>
          <w:color w:val="131A45"/>
        </w:rPr>
      </w:pPr>
      <w:r>
        <w:rPr>
          <w:color w:val="131A45"/>
        </w:rPr>
        <w:t xml:space="preserve">Demandez des devis et parlez à des spécialistes en accessibilité avant de faire vos budgets; il est facile de sous-estimer les prix ou de ne pas réaliser les détails des ressources demandées pour accomplir l’accessibilité envisagée. </w:t>
      </w:r>
    </w:p>
    <w:p w14:paraId="4E1B009A" w14:textId="77777777" w:rsidR="00BF02D1" w:rsidRDefault="00000000">
      <w:pPr>
        <w:widowControl w:val="0"/>
        <w:numPr>
          <w:ilvl w:val="0"/>
          <w:numId w:val="27"/>
        </w:numPr>
        <w:jc w:val="left"/>
        <w:rPr>
          <w:color w:val="131A45"/>
        </w:rPr>
      </w:pPr>
      <w:r>
        <w:rPr>
          <w:color w:val="131A45"/>
        </w:rPr>
        <w:t>Prenez-vous d’avance : obtenir une réponse prend en moyenne entre 4 et 8 mois. Si l’accessibilité est une priorité du projet, on se doit de s’assurer que les ressources monétaires seront disponibles pour l’accomplir avant de s’engager.</w:t>
      </w:r>
    </w:p>
    <w:p w14:paraId="4E1B009B" w14:textId="77777777" w:rsidR="00BF02D1" w:rsidRDefault="00000000">
      <w:pPr>
        <w:widowControl w:val="0"/>
        <w:numPr>
          <w:ilvl w:val="0"/>
          <w:numId w:val="27"/>
        </w:numPr>
        <w:jc w:val="left"/>
        <w:rPr>
          <w:color w:val="131A45"/>
        </w:rPr>
      </w:pPr>
      <w:r>
        <w:rPr>
          <w:color w:val="131A45"/>
        </w:rPr>
        <w:t xml:space="preserve">Ne cochez pas le plus de </w:t>
      </w:r>
      <w:proofErr w:type="gramStart"/>
      <w:r>
        <w:rPr>
          <w:color w:val="131A45"/>
        </w:rPr>
        <w:t>cases possible</w:t>
      </w:r>
      <w:proofErr w:type="gramEnd"/>
      <w:r>
        <w:rPr>
          <w:color w:val="131A45"/>
        </w:rPr>
        <w:t xml:space="preserve"> parce que vous croyez que cela vous donne plus de chances de décrocher des financements. Malgré la perception populaire, ce n’est pas vrai; cela ne fait que vous impliquer dans un projet qui ne correspondra pas nécessairement à ce que vous souhaitez réaliser, tout en nuisant à la visibilité des personnes dites marginalisées réellement concernées. </w:t>
      </w:r>
    </w:p>
    <w:p w14:paraId="4E1B009C" w14:textId="77777777" w:rsidR="00BF02D1" w:rsidRDefault="00000000">
      <w:pPr>
        <w:widowControl w:val="0"/>
        <w:numPr>
          <w:ilvl w:val="0"/>
          <w:numId w:val="27"/>
        </w:numPr>
        <w:jc w:val="left"/>
        <w:rPr>
          <w:color w:val="131A45"/>
        </w:rPr>
      </w:pPr>
      <w:proofErr w:type="gramStart"/>
      <w:r>
        <w:rPr>
          <w:color w:val="131A45"/>
        </w:rPr>
        <w:t>Faites</w:t>
      </w:r>
      <w:proofErr w:type="gramEnd"/>
      <w:r>
        <w:rPr>
          <w:color w:val="131A45"/>
        </w:rPr>
        <w:t xml:space="preserve"> des recherches et restez informés. Plusieurs nouveaux programmes et occasions sont lancés chaque année, dont les cibles évoluent au cours des années, et plusieurs possibilités reliées à l’accessibilité sont mentionnées dans le fond de sites web obscurs. </w:t>
      </w:r>
    </w:p>
    <w:p w14:paraId="4E1B009D" w14:textId="77777777" w:rsidR="00BF02D1" w:rsidRDefault="00000000">
      <w:pPr>
        <w:widowControl w:val="0"/>
        <w:numPr>
          <w:ilvl w:val="1"/>
          <w:numId w:val="27"/>
        </w:numPr>
        <w:spacing w:before="120"/>
        <w:jc w:val="left"/>
        <w:rPr>
          <w:color w:val="131A45"/>
        </w:rPr>
      </w:pPr>
      <w:r>
        <w:rPr>
          <w:color w:val="131A45"/>
        </w:rPr>
        <w:t>Par exemple, saviez-vous que le Conseil des arts du Canada finance le gardiennage pour les artistes parents comme une dépense admissible ?</w:t>
      </w:r>
    </w:p>
    <w:p w14:paraId="4E1B009E" w14:textId="77777777" w:rsidR="00BF02D1" w:rsidRDefault="00000000">
      <w:pPr>
        <w:pStyle w:val="Titre2"/>
        <w:ind w:right="360"/>
      </w:pPr>
      <w:bookmarkStart w:id="58" w:name="_heading=h.1egqt2p" w:colFirst="0" w:colLast="0"/>
      <w:bookmarkEnd w:id="58"/>
      <w:r>
        <w:rPr>
          <w:noProof/>
        </w:rPr>
        <w:lastRenderedPageBreak/>
        <w:drawing>
          <wp:anchor distT="0" distB="0" distL="0" distR="0" simplePos="0" relativeHeight="251695104" behindDoc="1" locked="0" layoutInCell="1" hidden="0" allowOverlap="1" wp14:anchorId="4E1B0143" wp14:editId="4F177C3D">
            <wp:simplePos x="0" y="0"/>
            <wp:positionH relativeFrom="page">
              <wp:posOffset>5140325</wp:posOffset>
            </wp:positionH>
            <wp:positionV relativeFrom="page">
              <wp:posOffset>709767</wp:posOffset>
            </wp:positionV>
            <wp:extent cx="4492869" cy="600075"/>
            <wp:effectExtent l="0" t="0" r="3175" b="0"/>
            <wp:wrapNone/>
            <wp:docPr id="130602840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492869" cy="600075"/>
                    </a:xfrm>
                    <a:prstGeom prst="rect">
                      <a:avLst/>
                    </a:prstGeom>
                    <a:ln/>
                  </pic:spPr>
                </pic:pic>
              </a:graphicData>
            </a:graphic>
          </wp:anchor>
        </w:drawing>
      </w:r>
      <w:r>
        <w:t>En résumé</w:t>
      </w:r>
    </w:p>
    <w:p w14:paraId="4E1B009F" w14:textId="77777777" w:rsidR="00BF02D1" w:rsidRDefault="00000000">
      <w:pPr>
        <w:spacing w:before="600"/>
        <w:rPr>
          <w:i/>
          <w:color w:val="E69138"/>
        </w:rPr>
      </w:pPr>
      <w:r>
        <w:rPr>
          <w:i/>
          <w:noProof/>
          <w:color w:val="E69138"/>
        </w:rPr>
        <w:drawing>
          <wp:inline distT="114300" distB="114300" distL="114300" distR="114300" wp14:anchorId="4E1B0145" wp14:editId="4E1B0146">
            <wp:extent cx="5943600" cy="5943600"/>
            <wp:effectExtent l="0" t="0" r="0" b="0"/>
            <wp:docPr id="1306028356" name="image2.jpg" descr="L’accessibilité créative en résumé. &#10;&#10;L'accessibilité créative est un concept pour la création en arts vivants.&#10;&#10;L'objectif est de penser de façon créative l'accessibilité et l'inclusion des spectatrices et spectateurs en réfléchissant leurs besoins à même le processus.&#10;&#10;Cette accessibilité doit être imbriquée au coeur et dès le début du processus dramaturgique. &#10;&#10;La démarche touche toutes les étapes de création et toutes les conceptions : sonore, textuelle, vidéo, scénographique, du mouvement, etc.&#10;&#10;L’accessibilité créative est présente dans l’ensemble des représentations et vise à enrayer la perception de l’accessibilité comme une contrainte.&#10;&#10;Le concept invite à esthétiser les solutions d’accessibilité, mais ce n’est pas une obligation à la démarche.&#10;&#10;Le concept de l’accessibilité créative s’accompagne de toute une réflexion sur les méthodes de travail, ainsi qu’une volonté d’ écoute et de collaboration pour, par et avec les diverses communautés dites marginalisées.&#10;&#10;Les possibilités dramaturgiques, créatives et technologiques sont infinies."/>
            <wp:cNvGraphicFramePr/>
            <a:graphic xmlns:a="http://schemas.openxmlformats.org/drawingml/2006/main">
              <a:graphicData uri="http://schemas.openxmlformats.org/drawingml/2006/picture">
                <pic:pic xmlns:pic="http://schemas.openxmlformats.org/drawingml/2006/picture">
                  <pic:nvPicPr>
                    <pic:cNvPr id="0" name="image2.jpg" descr="L’accessibilité créative en résumé. &#10;&#10;L'accessibilité créative est un concept pour la création en arts vivants.&#10;&#10;L'objectif est de penser de façon créative l'accessibilité et l'inclusion des spectatrices et spectateurs en réfléchissant leurs besoins à même le processus.&#10;&#10;Cette accessibilité doit être imbriquée au coeur et dès le début du processus dramaturgique. &#10;&#10;La démarche touche toutes les étapes de création et toutes les conceptions : sonore, textuelle, vidéo, scénographique, du mouvement, etc.&#10;&#10;L’accessibilité créative est présente dans l’ensemble des représentations et vise à enrayer la perception de l’accessibilité comme une contrainte.&#10;&#10;Le concept invite à esthétiser les solutions d’accessibilité, mais ce n’est pas une obligation à la démarche.&#10;&#10;Le concept de l’accessibilité créative s’accompagne de toute une réflexion sur les méthodes de travail, ainsi qu’une volonté d’ écoute et de collaboration pour, par et avec les diverses communautés dites marginalisées.&#10;&#10;Les possibilités dramaturgiques, créatives et technologiques sont infinies."/>
                    <pic:cNvPicPr preferRelativeResize="0"/>
                  </pic:nvPicPr>
                  <pic:blipFill>
                    <a:blip r:embed="rId20"/>
                    <a:srcRect/>
                    <a:stretch>
                      <a:fillRect/>
                    </a:stretch>
                  </pic:blipFill>
                  <pic:spPr>
                    <a:xfrm>
                      <a:off x="0" y="0"/>
                      <a:ext cx="5943600" cy="5943600"/>
                    </a:xfrm>
                    <a:prstGeom prst="rect">
                      <a:avLst/>
                    </a:prstGeom>
                    <a:ln/>
                  </pic:spPr>
                </pic:pic>
              </a:graphicData>
            </a:graphic>
          </wp:inline>
        </w:drawing>
      </w:r>
    </w:p>
    <w:p w14:paraId="4E1B00A0" w14:textId="77777777" w:rsidR="00BF02D1" w:rsidRDefault="00000000">
      <w:pPr>
        <w:pStyle w:val="Titre2"/>
        <w:ind w:right="360"/>
      </w:pPr>
      <w:bookmarkStart w:id="59" w:name="_heading=h.3ygebqi" w:colFirst="0" w:colLast="0"/>
      <w:bookmarkEnd w:id="59"/>
      <w:r>
        <w:rPr>
          <w:noProof/>
        </w:rPr>
        <w:lastRenderedPageBreak/>
        <w:drawing>
          <wp:anchor distT="0" distB="0" distL="0" distR="0" simplePos="0" relativeHeight="251696128" behindDoc="1" locked="0" layoutInCell="1" hidden="0" allowOverlap="1" wp14:anchorId="4E1B0147" wp14:editId="4A371A04">
            <wp:simplePos x="0" y="0"/>
            <wp:positionH relativeFrom="page">
              <wp:posOffset>5083810</wp:posOffset>
            </wp:positionH>
            <wp:positionV relativeFrom="page">
              <wp:posOffset>707862</wp:posOffset>
            </wp:positionV>
            <wp:extent cx="4492869" cy="600075"/>
            <wp:effectExtent l="0" t="0" r="3175" b="0"/>
            <wp:wrapNone/>
            <wp:docPr id="130602839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492869" cy="600075"/>
                    </a:xfrm>
                    <a:prstGeom prst="rect">
                      <a:avLst/>
                    </a:prstGeom>
                    <a:ln/>
                  </pic:spPr>
                </pic:pic>
              </a:graphicData>
            </a:graphic>
          </wp:anchor>
        </w:drawing>
      </w:r>
      <w:r>
        <w:t>Conclusion</w:t>
      </w:r>
    </w:p>
    <w:p w14:paraId="4E1B00A1" w14:textId="77777777" w:rsidR="00BF02D1" w:rsidRDefault="00000000">
      <w:pPr>
        <w:widowControl w:val="0"/>
        <w:jc w:val="left"/>
        <w:rPr>
          <w:color w:val="131A45"/>
        </w:rPr>
      </w:pPr>
      <w:r>
        <w:rPr>
          <w:color w:val="131A45"/>
        </w:rPr>
        <w:t xml:space="preserve">Il n’y aura jamais de lieu ou de situation idéale. Il faut constamment se réinventer et réfléchir à des solutions hors des cadres conventionnels. L’accessibilité n’est pas un frein à notre créativité, mais bien un tremplin vers de nouvelles idées, de nouvelles dramaturgies, de nouvelles manières d’accueillir les spectatrices et les spectateurs. </w:t>
      </w:r>
    </w:p>
    <w:p w14:paraId="4E1B00A2" w14:textId="77777777" w:rsidR="00BF02D1" w:rsidRDefault="00000000">
      <w:pPr>
        <w:widowControl w:val="0"/>
        <w:spacing w:before="400"/>
        <w:jc w:val="left"/>
        <w:rPr>
          <w:color w:val="131A45"/>
        </w:rPr>
      </w:pPr>
      <w:r>
        <w:rPr>
          <w:color w:val="131A45"/>
        </w:rPr>
        <w:t>Quelques rappels :</w:t>
      </w:r>
    </w:p>
    <w:p w14:paraId="4E1B00A3" w14:textId="77777777" w:rsidR="00BF02D1" w:rsidRDefault="00000000">
      <w:pPr>
        <w:widowControl w:val="0"/>
        <w:numPr>
          <w:ilvl w:val="0"/>
          <w:numId w:val="40"/>
        </w:numPr>
        <w:jc w:val="left"/>
        <w:rPr>
          <w:color w:val="131A45"/>
        </w:rPr>
      </w:pPr>
      <w:r>
        <w:rPr>
          <w:color w:val="131A45"/>
        </w:rPr>
        <w:t>L’accessibilité peut être créative; c’est un moteur pour repenser nos scènes et nos méthodes en arts vivants.</w:t>
      </w:r>
    </w:p>
    <w:p w14:paraId="4E1B00A4" w14:textId="77777777" w:rsidR="00BF02D1" w:rsidRDefault="00000000">
      <w:pPr>
        <w:widowControl w:val="0"/>
        <w:numPr>
          <w:ilvl w:val="0"/>
          <w:numId w:val="40"/>
        </w:numPr>
        <w:jc w:val="left"/>
        <w:rPr>
          <w:color w:val="131A45"/>
        </w:rPr>
      </w:pPr>
      <w:r>
        <w:rPr>
          <w:color w:val="131A45"/>
        </w:rPr>
        <w:t>L’accessibilité créative s’assure, même à travers l’esthétisation, que les mesures d’accessibilité mises en place respectent les besoins d’accessibilité visés.</w:t>
      </w:r>
    </w:p>
    <w:p w14:paraId="4E1B00A5" w14:textId="77777777" w:rsidR="00BF02D1" w:rsidRDefault="00000000">
      <w:pPr>
        <w:widowControl w:val="0"/>
        <w:numPr>
          <w:ilvl w:val="0"/>
          <w:numId w:val="40"/>
        </w:numPr>
        <w:jc w:val="left"/>
        <w:rPr>
          <w:color w:val="131A45"/>
        </w:rPr>
      </w:pPr>
      <w:r>
        <w:rPr>
          <w:color w:val="131A45"/>
        </w:rPr>
        <w:t xml:space="preserve">L’accessibilité créative vise des conditions de travail confortables et équitables. </w:t>
      </w:r>
    </w:p>
    <w:p w14:paraId="4E1B00A6" w14:textId="77777777" w:rsidR="00BF02D1" w:rsidRDefault="00000000">
      <w:pPr>
        <w:widowControl w:val="0"/>
        <w:numPr>
          <w:ilvl w:val="0"/>
          <w:numId w:val="40"/>
        </w:numPr>
        <w:jc w:val="left"/>
        <w:rPr>
          <w:color w:val="131A45"/>
        </w:rPr>
      </w:pPr>
      <w:r>
        <w:rPr>
          <w:color w:val="131A45"/>
        </w:rPr>
        <w:t xml:space="preserve">S’informer et écouter sont deux éléments à retenir pour mettre en pratique l’accessibilité créative. </w:t>
      </w:r>
    </w:p>
    <w:p w14:paraId="4E1B00A7" w14:textId="77777777" w:rsidR="00BF02D1" w:rsidRDefault="00000000">
      <w:pPr>
        <w:widowControl w:val="0"/>
        <w:spacing w:before="400"/>
        <w:jc w:val="left"/>
        <w:rPr>
          <w:color w:val="131A45"/>
        </w:rPr>
      </w:pPr>
      <w:r>
        <w:rPr>
          <w:color w:val="131A45"/>
        </w:rPr>
        <w:t xml:space="preserve">L’art est en constant mouvement et évolue avec les divers besoins et les désirs artistiques. L’accessibilité créative fait partie de ce mouvement évolutif de l’art, permettant de créer de nouvelles scènes et d’offrir la possibilité aux créatrices et créateurs de renouveler leur pratique. </w:t>
      </w:r>
    </w:p>
    <w:p w14:paraId="4E1B00A8" w14:textId="77777777" w:rsidR="00BF02D1" w:rsidRDefault="00000000">
      <w:pPr>
        <w:widowControl w:val="0"/>
        <w:spacing w:before="400"/>
        <w:jc w:val="left"/>
        <w:rPr>
          <w:color w:val="131A45"/>
        </w:rPr>
      </w:pPr>
      <w:r>
        <w:rPr>
          <w:color w:val="131A45"/>
        </w:rPr>
        <w:t xml:space="preserve">Il y a une quantité impressionnante de solutions accessibles que nous pouvons mettre en place et qui permettent au fil du temps d’accueillir un public toujours plus large dans nos spectacles. Et ceci est une grande victoire. </w:t>
      </w:r>
    </w:p>
    <w:p w14:paraId="4E1B00A9" w14:textId="77777777" w:rsidR="00BF02D1" w:rsidRDefault="00000000">
      <w:pPr>
        <w:widowControl w:val="0"/>
        <w:spacing w:before="400"/>
        <w:jc w:val="left"/>
        <w:rPr>
          <w:color w:val="131A45"/>
        </w:rPr>
      </w:pPr>
      <w:r>
        <w:rPr>
          <w:color w:val="131A45"/>
        </w:rPr>
        <w:t xml:space="preserve">Bon processus créatif ! </w:t>
      </w:r>
    </w:p>
    <w:p w14:paraId="4E1B00AA" w14:textId="77777777" w:rsidR="00BF02D1" w:rsidRDefault="00000000">
      <w:pPr>
        <w:widowControl w:val="0"/>
        <w:spacing w:before="400"/>
        <w:ind w:firstLine="720"/>
        <w:jc w:val="left"/>
        <w:rPr>
          <w:color w:val="131A45"/>
        </w:rPr>
      </w:pPr>
      <w:r>
        <w:rPr>
          <w:color w:val="131A45"/>
        </w:rPr>
        <w:t>Marie Ayotte et Andrée-Anne Giguère</w:t>
      </w:r>
    </w:p>
    <w:p w14:paraId="4E1B00AB" w14:textId="77777777" w:rsidR="00BF02D1" w:rsidRDefault="00000000">
      <w:pPr>
        <w:pStyle w:val="Titre2"/>
        <w:ind w:right="360"/>
      </w:pPr>
      <w:bookmarkStart w:id="60" w:name="_heading=h.2dlolyb" w:colFirst="0" w:colLast="0"/>
      <w:bookmarkEnd w:id="60"/>
      <w:r>
        <w:rPr>
          <w:noProof/>
        </w:rPr>
        <w:lastRenderedPageBreak/>
        <w:drawing>
          <wp:anchor distT="0" distB="0" distL="0" distR="0" simplePos="0" relativeHeight="251697152" behindDoc="1" locked="0" layoutInCell="1" hidden="0" allowOverlap="1" wp14:anchorId="4E1B0149" wp14:editId="2592C3A3">
            <wp:simplePos x="0" y="0"/>
            <wp:positionH relativeFrom="page">
              <wp:posOffset>4608830</wp:posOffset>
            </wp:positionH>
            <wp:positionV relativeFrom="page">
              <wp:posOffset>706592</wp:posOffset>
            </wp:positionV>
            <wp:extent cx="4492869" cy="600075"/>
            <wp:effectExtent l="0" t="0" r="3175" b="0"/>
            <wp:wrapNone/>
            <wp:docPr id="130602836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492869" cy="600075"/>
                    </a:xfrm>
                    <a:prstGeom prst="rect">
                      <a:avLst/>
                    </a:prstGeom>
                    <a:ln/>
                  </pic:spPr>
                </pic:pic>
              </a:graphicData>
            </a:graphic>
          </wp:anchor>
        </w:drawing>
      </w:r>
      <w:r>
        <w:t>Sur les autrices</w:t>
      </w:r>
    </w:p>
    <w:p w14:paraId="4E1B00AC" w14:textId="77777777" w:rsidR="00BF02D1" w:rsidRDefault="00000000">
      <w:pPr>
        <w:pStyle w:val="Titre3"/>
      </w:pPr>
      <w:bookmarkStart w:id="61" w:name="_heading=h.sqyw64" w:colFirst="0" w:colLast="0"/>
      <w:bookmarkEnd w:id="61"/>
      <w:r>
        <w:t>MARIE AYOTTE</w:t>
      </w:r>
    </w:p>
    <w:p w14:paraId="4E1B00AD" w14:textId="77777777" w:rsidR="00BF02D1" w:rsidRDefault="00000000">
      <w:pPr>
        <w:jc w:val="left"/>
        <w:rPr>
          <w:color w:val="131A45"/>
        </w:rPr>
      </w:pPr>
      <w:r>
        <w:rPr>
          <w:color w:val="131A45"/>
        </w:rPr>
        <w:t xml:space="preserve">Marie Ayotte est autrice, metteure en scène, consultante en accessibilité, formatrice et chercheure. Son travail explore les notions d'accessibilité, de vulnérabilité, d'innovation et d'interactivité dans les arts de la scène. Fondatrice de Théâtre Déchaînés, elle est depuis 2019 sa directrice générale et codirectrice artistique. Comme créatrice, elle a présenté plus d’une dizaine de ses pièces au Québec, aux États-Unis et en France. Ses textes et sa démarche artistique ont fait l'objet de publications dans les revues JEU et </w:t>
      </w:r>
      <w:r w:rsidRPr="00C23744">
        <w:rPr>
          <w:i/>
          <w:iCs/>
          <w:color w:val="131A45"/>
        </w:rPr>
        <w:t xml:space="preserve">Canadian Theatre </w:t>
      </w:r>
      <w:proofErr w:type="spellStart"/>
      <w:r w:rsidRPr="00C23744">
        <w:rPr>
          <w:i/>
          <w:iCs/>
          <w:color w:val="131A45"/>
        </w:rPr>
        <w:t>Review</w:t>
      </w:r>
      <w:proofErr w:type="spellEnd"/>
      <w:r>
        <w:rPr>
          <w:color w:val="131A45"/>
        </w:rPr>
        <w:t xml:space="preserve">, ainsi que d’une quarantaine d’articles de presse. Marie est également gestionnaire culturelle depuis plus de 15 ans, et a été nominée à plusieurs prix, dont « Jeune </w:t>
      </w:r>
      <w:proofErr w:type="spellStart"/>
      <w:r>
        <w:rPr>
          <w:color w:val="131A45"/>
        </w:rPr>
        <w:t>entrepreneur-e</w:t>
      </w:r>
      <w:proofErr w:type="spellEnd"/>
      <w:r>
        <w:rPr>
          <w:color w:val="131A45"/>
        </w:rPr>
        <w:t xml:space="preserve"> du Québec : arts et culture » au Prix Arista 2023. </w:t>
      </w:r>
    </w:p>
    <w:p w14:paraId="4E1B00AE" w14:textId="77777777" w:rsidR="00BF02D1" w:rsidRDefault="00000000">
      <w:pPr>
        <w:pStyle w:val="Titre3"/>
        <w:jc w:val="left"/>
      </w:pPr>
      <w:bookmarkStart w:id="62" w:name="_heading=h.3cqmetx" w:colFirst="0" w:colLast="0"/>
      <w:bookmarkEnd w:id="62"/>
      <w:r>
        <w:t>ANDRÉE-ANNE GIGUÈRE</w:t>
      </w:r>
    </w:p>
    <w:p w14:paraId="4E1B00AF" w14:textId="77777777" w:rsidR="00BF02D1" w:rsidRDefault="00000000">
      <w:pPr>
        <w:jc w:val="left"/>
        <w:rPr>
          <w:color w:val="131A45"/>
        </w:rPr>
      </w:pPr>
      <w:r>
        <w:rPr>
          <w:color w:val="131A45"/>
        </w:rPr>
        <w:t xml:space="preserve">Artiste interdisciplinaire, Andrée-Anne Giguère est co-directrice artistique de Théâtre Déchaînés, professionnelle de recherche (Université du Québec à Chicoutimi [UQAC], depuis 2010), membre associée du Centre de recherche Cultures – Arts – Sociétés (CELAT) et membre cofondatrice du collectif Les Poulpes. Elle a une pratique active de comédienne, performeuse, conceptrice vidéo pour la scène en arts vivants, metteuse en scène et chargée de cours (UQAC et Muses). Étudiante au doctorat (Université Laval), elle base ses recherches sur la manipule-action de la technologie sur la scène pour une approche performative. Elle s’intéresse aux scènes sans bord et aux nouvelles scènes théâtrales à distance et accessibles. </w:t>
      </w:r>
      <w:r>
        <w:rPr>
          <w:color w:val="131A45"/>
          <w:highlight w:val="white"/>
        </w:rPr>
        <w:t xml:space="preserve">Elle a codirigé avec Jean-Paul Quéinnec quatre cahiers de phonographie aux éditions de </w:t>
      </w:r>
      <w:proofErr w:type="spellStart"/>
      <w:r>
        <w:rPr>
          <w:color w:val="131A45"/>
          <w:highlight w:val="white"/>
        </w:rPr>
        <w:t>LaClignotante</w:t>
      </w:r>
      <w:proofErr w:type="spellEnd"/>
      <w:r>
        <w:rPr>
          <w:color w:val="131A45"/>
          <w:highlight w:val="white"/>
        </w:rPr>
        <w:t xml:space="preserve"> en plus d’écrire pour plusieurs revues scientifiques. </w:t>
      </w:r>
      <w:r>
        <w:rPr>
          <w:color w:val="131A45"/>
        </w:rPr>
        <w:t xml:space="preserve">Son travail a été présenté en France, en Colombie et au Mexique. </w:t>
      </w:r>
    </w:p>
    <w:p w14:paraId="4E1B00B0" w14:textId="77777777" w:rsidR="00BF02D1" w:rsidRDefault="00000000">
      <w:pPr>
        <w:pStyle w:val="Titre2"/>
        <w:ind w:right="360"/>
      </w:pPr>
      <w:bookmarkStart w:id="63" w:name="_heading=h.1rvwp1q" w:colFirst="0" w:colLast="0"/>
      <w:bookmarkEnd w:id="63"/>
      <w:r>
        <w:rPr>
          <w:noProof/>
        </w:rPr>
        <w:lastRenderedPageBreak/>
        <w:drawing>
          <wp:anchor distT="0" distB="0" distL="0" distR="0" simplePos="0" relativeHeight="251698176" behindDoc="1" locked="0" layoutInCell="1" hidden="0" allowOverlap="1" wp14:anchorId="4E1B014B" wp14:editId="1E042156">
            <wp:simplePos x="0" y="0"/>
            <wp:positionH relativeFrom="page">
              <wp:posOffset>3841750</wp:posOffset>
            </wp:positionH>
            <wp:positionV relativeFrom="page">
              <wp:posOffset>707227</wp:posOffset>
            </wp:positionV>
            <wp:extent cx="4492869" cy="600075"/>
            <wp:effectExtent l="0" t="0" r="3175" b="0"/>
            <wp:wrapNone/>
            <wp:docPr id="130602835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492869" cy="600075"/>
                    </a:xfrm>
                    <a:prstGeom prst="rect">
                      <a:avLst/>
                    </a:prstGeom>
                    <a:ln/>
                  </pic:spPr>
                </pic:pic>
              </a:graphicData>
            </a:graphic>
          </wp:anchor>
        </w:drawing>
      </w:r>
      <w:r>
        <w:t>Sur Théâtre Déchaînés</w:t>
      </w:r>
    </w:p>
    <w:p w14:paraId="4E1B00B1" w14:textId="77777777" w:rsidR="00BF02D1" w:rsidRDefault="00000000">
      <w:pPr>
        <w:spacing w:after="240"/>
        <w:jc w:val="left"/>
        <w:rPr>
          <w:color w:val="131A45"/>
        </w:rPr>
      </w:pPr>
      <w:r>
        <w:rPr>
          <w:color w:val="131A45"/>
        </w:rPr>
        <w:t>Théâtre Déchaînés est un organisme de recherche, de production et de diffusion d’expériences théâtrales accessibles et inclusives. Nous nous spécialisons dans les œuvres théâtrales et les activités participatives de médiation culturelle conçues dès leur idéation pour être adaptées à divers publics marginalisés, afin de les rendre accessibles aux communautés trop souvent oubliées, à travers une démarche que nous nommons « l’accessibilité créative ».</w:t>
      </w:r>
    </w:p>
    <w:p w14:paraId="4E1B00B2" w14:textId="77777777" w:rsidR="00BF02D1" w:rsidRDefault="00000000">
      <w:pPr>
        <w:spacing w:before="400" w:after="240"/>
        <w:jc w:val="left"/>
        <w:rPr>
          <w:color w:val="131A45"/>
        </w:rPr>
      </w:pPr>
      <w:r>
        <w:rPr>
          <w:color w:val="131A45"/>
        </w:rPr>
        <w:t>Tout le monde devrait avoir accès à du théâtre. Que ce soit en raison de questions de situation de handicap, de santé mentale ou physique, d’âge, de géographie, d’obligations familiales ou de situation financière, un grand nombre de personnes n’ont pas accès à du théâtre ni à des activités culturelles adaptées à leurs circonstances. Il est temps de repenser l’accès culturel pour qu'il dépasse les privilèges et les cadres préétablis.</w:t>
      </w:r>
    </w:p>
    <w:p w14:paraId="4E1B00B3" w14:textId="77777777" w:rsidR="00BF02D1" w:rsidRDefault="00000000">
      <w:pPr>
        <w:spacing w:before="400" w:after="240"/>
        <w:jc w:val="left"/>
        <w:rPr>
          <w:color w:val="131A45"/>
        </w:rPr>
      </w:pPr>
      <w:r>
        <w:rPr>
          <w:color w:val="131A45"/>
        </w:rPr>
        <w:t>Entamant des dialogues ouverts à toutes et tous sur des réalités humaines et sociales qui font rarement la une, mais qui ne méritent pas moins notre attention, nous travaillons à offrir des activités participatives et des œuvres artistiques de qualité en direct. Pour nous, l’adaptation d’une œuvre ou d’une activité culturelle aux publics marginalisés est un moteur de création et une part intégrante de la démarche artistique de chaque création, de sa conception à sa diffusion.</w:t>
      </w:r>
    </w:p>
    <w:p w14:paraId="4E1B00B4" w14:textId="77777777" w:rsidR="00BF02D1" w:rsidRDefault="00000000">
      <w:pPr>
        <w:spacing w:before="400" w:after="240"/>
        <w:jc w:val="left"/>
        <w:rPr>
          <w:color w:val="131A45"/>
        </w:rPr>
      </w:pPr>
      <w:r>
        <w:rPr>
          <w:color w:val="131A45"/>
        </w:rPr>
        <w:t>Déchaînés souhaite, à travers ce mandat, orienter son travail vers un théâtre et des activités de médiation culturelle qui se définissent comme des outils d’écoute et de changements sociaux, qui incluent sans discrimination chaque citoyenne et citoyen et qui aspirent à un futur rassembleur, où on ne laisse personne de côté.</w:t>
      </w:r>
    </w:p>
    <w:p w14:paraId="4E1B00B5" w14:textId="77777777" w:rsidR="00BF02D1" w:rsidRDefault="00BF02D1">
      <w:pPr>
        <w:spacing w:before="600" w:after="240"/>
        <w:rPr>
          <w:u w:val="single"/>
        </w:rPr>
      </w:pPr>
      <w:hyperlink r:id="rId21">
        <w:r>
          <w:rPr>
            <w:rFonts w:ascii="Lexend SemiBold" w:eastAsia="Lexend SemiBold" w:hAnsi="Lexend SemiBold" w:cs="Lexend SemiBold"/>
            <w:color w:val="131A45"/>
            <w:u w:val="single"/>
          </w:rPr>
          <w:t xml:space="preserve">www.theatredechaines.com </w:t>
        </w:r>
      </w:hyperlink>
    </w:p>
    <w:p w14:paraId="4E1B00B6" w14:textId="77777777" w:rsidR="00BF02D1" w:rsidRDefault="00000000">
      <w:pPr>
        <w:pStyle w:val="Titre2"/>
        <w:ind w:right="360"/>
      </w:pPr>
      <w:bookmarkStart w:id="64" w:name="_heading=h.4bvk7pj" w:colFirst="0" w:colLast="0"/>
      <w:bookmarkEnd w:id="64"/>
      <w:r>
        <w:rPr>
          <w:noProof/>
        </w:rPr>
        <w:lastRenderedPageBreak/>
        <w:drawing>
          <wp:anchor distT="0" distB="0" distL="0" distR="0" simplePos="0" relativeHeight="251699200" behindDoc="1" locked="0" layoutInCell="1" hidden="0" allowOverlap="1" wp14:anchorId="4E1B014D" wp14:editId="3681E4B8">
            <wp:simplePos x="0" y="0"/>
            <wp:positionH relativeFrom="page">
              <wp:posOffset>4824730</wp:posOffset>
            </wp:positionH>
            <wp:positionV relativeFrom="page">
              <wp:posOffset>707227</wp:posOffset>
            </wp:positionV>
            <wp:extent cx="4492869" cy="600075"/>
            <wp:effectExtent l="0" t="0" r="3175" b="0"/>
            <wp:wrapNone/>
            <wp:docPr id="13060283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492869" cy="600075"/>
                    </a:xfrm>
                    <a:prstGeom prst="rect">
                      <a:avLst/>
                    </a:prstGeom>
                    <a:ln/>
                  </pic:spPr>
                </pic:pic>
              </a:graphicData>
            </a:graphic>
          </wp:anchor>
        </w:drawing>
      </w:r>
      <w:r>
        <w:t xml:space="preserve">Bibliographie </w:t>
      </w:r>
    </w:p>
    <w:p w14:paraId="4E1B00B7" w14:textId="77777777" w:rsidR="00BF02D1" w:rsidRPr="0033399E" w:rsidRDefault="00000000">
      <w:pPr>
        <w:jc w:val="left"/>
        <w:rPr>
          <w:color w:val="131A45"/>
          <w:lang w:val="en-CA"/>
        </w:rPr>
      </w:pPr>
      <w:r w:rsidRPr="00C23744">
        <w:rPr>
          <w:rFonts w:ascii="Lexend SemiBold" w:eastAsia="Lexend SemiBold" w:hAnsi="Lexend SemiBold" w:cs="Lexend SemiBold"/>
          <w:color w:val="131A45"/>
        </w:rPr>
        <w:t>CRENSHAW, K</w:t>
      </w:r>
      <w:r>
        <w:rPr>
          <w:rFonts w:ascii="Lexend SemiBold" w:eastAsia="Lexend SemiBold" w:hAnsi="Lexend SemiBold" w:cs="Lexend SemiBold"/>
          <w:color w:val="131A45"/>
        </w:rPr>
        <w:t xml:space="preserve">. </w:t>
      </w:r>
      <w:r>
        <w:rPr>
          <w:color w:val="131A45"/>
        </w:rPr>
        <w:t xml:space="preserve">(1989). </w:t>
      </w:r>
      <w:r w:rsidRPr="0033399E">
        <w:rPr>
          <w:color w:val="131A45"/>
          <w:lang w:val="en-CA"/>
        </w:rPr>
        <w:t xml:space="preserve">Demarginalizing the Intersection of Race and Sex: A Black Feminist Critique of Antidiscrimination Doctrine, Feminist Theory, and Antiracist Politics. </w:t>
      </w:r>
      <w:r w:rsidRPr="0033399E">
        <w:rPr>
          <w:i/>
          <w:color w:val="131A45"/>
          <w:lang w:val="en-CA"/>
        </w:rPr>
        <w:t>University of Chicago Legal Forum, 1989</w:t>
      </w:r>
      <w:r w:rsidRPr="00C23744">
        <w:rPr>
          <w:color w:val="131A45"/>
          <w:lang w:val="en-CA"/>
        </w:rPr>
        <w:t>(1), 139-167.</w:t>
      </w:r>
      <w:r w:rsidRPr="0033399E">
        <w:rPr>
          <w:color w:val="131A45"/>
          <w:lang w:val="en-CA"/>
        </w:rPr>
        <w:t xml:space="preserve"> </w:t>
      </w:r>
    </w:p>
    <w:p w14:paraId="4E1B00B8" w14:textId="77777777" w:rsidR="00BF02D1" w:rsidRDefault="00000000">
      <w:pPr>
        <w:spacing w:before="400"/>
        <w:jc w:val="left"/>
        <w:rPr>
          <w:color w:val="131A45"/>
        </w:rPr>
      </w:pPr>
      <w:r w:rsidRPr="00C23744">
        <w:rPr>
          <w:b/>
          <w:color w:val="131A45"/>
          <w:lang w:val="en-CA"/>
        </w:rPr>
        <w:t xml:space="preserve">FOUGEYROLLAS, P., FISET, D., DUMONT, I., GRENIER, Y., BOUCHER, N. ET GAMACHE, S. </w:t>
      </w:r>
      <w:r w:rsidRPr="00C23744">
        <w:rPr>
          <w:color w:val="131A45"/>
          <w:lang w:val="en-CA"/>
        </w:rPr>
        <w:t xml:space="preserve">(2019). </w:t>
      </w:r>
      <w:r w:rsidRPr="006D2CC3">
        <w:rPr>
          <w:color w:val="131A45"/>
        </w:rPr>
        <w:t>Réflexion critique sur la notion d’accessibilité universelle et articulation conceptuelle pour le développement d’environnements inclusifs.</w:t>
      </w:r>
      <w:r>
        <w:rPr>
          <w:color w:val="131A45"/>
        </w:rPr>
        <w:t xml:space="preserve"> </w:t>
      </w:r>
      <w:r>
        <w:rPr>
          <w:i/>
          <w:color w:val="131A45"/>
        </w:rPr>
        <w:t xml:space="preserve">Développement Humain, Handicap et Changement Social / </w:t>
      </w:r>
      <w:r w:rsidRPr="006D2CC3">
        <w:rPr>
          <w:i/>
          <w:color w:val="131A45"/>
          <w:lang w:val="en-CA"/>
        </w:rPr>
        <w:t>Human Development, Disability, and Social Change,</w:t>
      </w:r>
      <w:r>
        <w:rPr>
          <w:i/>
          <w:color w:val="131A45"/>
        </w:rPr>
        <w:t xml:space="preserve"> 25</w:t>
      </w:r>
      <w:r>
        <w:rPr>
          <w:color w:val="131A45"/>
        </w:rPr>
        <w:t xml:space="preserve">(1), 161-175. </w:t>
      </w:r>
    </w:p>
    <w:p w14:paraId="4E1B00B9" w14:textId="77777777" w:rsidR="00BF02D1" w:rsidRDefault="00000000">
      <w:pPr>
        <w:spacing w:before="400"/>
        <w:jc w:val="left"/>
        <w:rPr>
          <w:color w:val="131A45"/>
        </w:rPr>
      </w:pPr>
      <w:r>
        <w:rPr>
          <w:rFonts w:ascii="Lexend SemiBold" w:eastAsia="Lexend SemiBold" w:hAnsi="Lexend SemiBold" w:cs="Lexend SemiBold"/>
          <w:color w:val="131A45"/>
        </w:rPr>
        <w:t>GADRAT, S.</w:t>
      </w:r>
      <w:r>
        <w:rPr>
          <w:color w:val="131A45"/>
        </w:rPr>
        <w:t xml:space="preserve"> (2024). </w:t>
      </w:r>
      <w:r>
        <w:rPr>
          <w:i/>
          <w:color w:val="131A45"/>
        </w:rPr>
        <w:t>Côtoyer, apprendre, (s</w:t>
      </w:r>
      <w:proofErr w:type="gramStart"/>
      <w:r>
        <w:rPr>
          <w:i/>
          <w:color w:val="131A45"/>
        </w:rPr>
        <w:t>’)impliquer</w:t>
      </w:r>
      <w:proofErr w:type="gramEnd"/>
      <w:r>
        <w:rPr>
          <w:i/>
          <w:color w:val="131A45"/>
        </w:rPr>
        <w:t xml:space="preserve"> : altérité visuelle et création artistique </w:t>
      </w:r>
      <w:r>
        <w:rPr>
          <w:color w:val="131A45"/>
        </w:rPr>
        <w:t>[communication orale]</w:t>
      </w:r>
      <w:r>
        <w:rPr>
          <w:i/>
          <w:color w:val="131A45"/>
        </w:rPr>
        <w:t>.</w:t>
      </w:r>
      <w:r>
        <w:rPr>
          <w:color w:val="131A45"/>
        </w:rPr>
        <w:t xml:space="preserve"> Congrès Transformation des pratiques et nouvelles représentations du handicap, Montréal, QC, Canada.</w:t>
      </w:r>
    </w:p>
    <w:p w14:paraId="4E1B00BA" w14:textId="77777777" w:rsidR="00BF02D1" w:rsidRDefault="00000000">
      <w:pPr>
        <w:spacing w:before="400"/>
        <w:jc w:val="left"/>
        <w:rPr>
          <w:color w:val="131A45"/>
        </w:rPr>
      </w:pPr>
      <w:r>
        <w:rPr>
          <w:rFonts w:ascii="Lexend SemiBold" w:eastAsia="Lexend SemiBold" w:hAnsi="Lexend SemiBold" w:cs="Lexend SemiBold"/>
          <w:color w:val="131A45"/>
        </w:rPr>
        <w:t xml:space="preserve">GARDOU, C. </w:t>
      </w:r>
      <w:r>
        <w:rPr>
          <w:color w:val="131A45"/>
        </w:rPr>
        <w:t xml:space="preserve">(2019). Il n’y a pas de société inclusive sans remise en cause de prés carrés. </w:t>
      </w:r>
      <w:r>
        <w:rPr>
          <w:i/>
          <w:color w:val="131A45"/>
        </w:rPr>
        <w:t>Le Monde</w:t>
      </w:r>
      <w:r>
        <w:rPr>
          <w:color w:val="131A45"/>
        </w:rPr>
        <w:t xml:space="preserve">. </w:t>
      </w:r>
      <w:hyperlink r:id="rId22">
        <w:r w:rsidR="00BF02D1">
          <w:rPr>
            <w:color w:val="131A45"/>
            <w:u w:val="single"/>
          </w:rPr>
          <w:t>https://www.lemonde.fr/emploi/article/2019/12/16/charles-gardou-spe</w:t>
        </w:r>
        <w:r w:rsidR="00BF02D1">
          <w:rPr>
            <w:color w:val="131A45"/>
            <w:u w:val="single"/>
          </w:rPr>
          <w:br/>
          <w:t>cialiste-du-handicap-il-n-y-a-pas-de-societe-inclusive-sans-remise-en-cause-de-pres-carres_6023003_1698637.html</w:t>
        </w:r>
      </w:hyperlink>
      <w:r>
        <w:rPr>
          <w:color w:val="131A45"/>
          <w:u w:val="single"/>
        </w:rPr>
        <w:t>.</w:t>
      </w:r>
      <w:r>
        <w:rPr>
          <w:color w:val="131A45"/>
        </w:rPr>
        <w:t xml:space="preserve"> </w:t>
      </w:r>
    </w:p>
    <w:p w14:paraId="4E1B00BB" w14:textId="77777777" w:rsidR="00BF02D1" w:rsidRPr="0033399E" w:rsidRDefault="00000000">
      <w:pPr>
        <w:spacing w:before="400"/>
        <w:jc w:val="left"/>
        <w:rPr>
          <w:color w:val="131A45"/>
          <w:lang w:val="en-CA"/>
        </w:rPr>
      </w:pPr>
      <w:r w:rsidRPr="0033399E">
        <w:rPr>
          <w:rFonts w:ascii="Lexend SemiBold" w:eastAsia="Lexend SemiBold" w:hAnsi="Lexend SemiBold" w:cs="Lexend SemiBold"/>
          <w:color w:val="131A45"/>
          <w:lang w:val="en-CA"/>
        </w:rPr>
        <w:t>GLOVER BLACKWELL, A.</w:t>
      </w:r>
      <w:r w:rsidRPr="0033399E">
        <w:rPr>
          <w:color w:val="131A45"/>
          <w:lang w:val="en-CA"/>
        </w:rPr>
        <w:t xml:space="preserve"> </w:t>
      </w:r>
      <w:r w:rsidRPr="00C23744">
        <w:rPr>
          <w:color w:val="131A45"/>
          <w:lang w:val="en-CA"/>
        </w:rPr>
        <w:t>(2017, hiver).</w:t>
      </w:r>
      <w:r w:rsidRPr="0033399E">
        <w:rPr>
          <w:color w:val="131A45"/>
          <w:lang w:val="en-CA"/>
        </w:rPr>
        <w:t xml:space="preserve"> The Curb-Cut Effect. </w:t>
      </w:r>
      <w:r w:rsidRPr="0033399E">
        <w:rPr>
          <w:i/>
          <w:color w:val="131A45"/>
          <w:lang w:val="en-CA"/>
        </w:rPr>
        <w:t xml:space="preserve">Staford Social Innovation Review, </w:t>
      </w:r>
      <w:r w:rsidRPr="00C23744">
        <w:rPr>
          <w:i/>
          <w:color w:val="131A45"/>
          <w:lang w:val="en-CA"/>
        </w:rPr>
        <w:t>15</w:t>
      </w:r>
      <w:r w:rsidRPr="00C23744">
        <w:rPr>
          <w:color w:val="131A45"/>
          <w:lang w:val="en-CA"/>
        </w:rPr>
        <w:t xml:space="preserve">(1). </w:t>
      </w:r>
      <w:hyperlink r:id="rId23">
        <w:r w:rsidR="00BF02D1" w:rsidRPr="00C23744">
          <w:rPr>
            <w:color w:val="131A45"/>
            <w:u w:val="single"/>
            <w:lang w:val="en-CA"/>
          </w:rPr>
          <w:t>https://ssir.org/articles/entry/the_curb_cut_effect</w:t>
        </w:r>
      </w:hyperlink>
    </w:p>
    <w:p w14:paraId="4E1B00BC" w14:textId="77777777" w:rsidR="00BF02D1" w:rsidRPr="00C23744" w:rsidRDefault="00000000">
      <w:pPr>
        <w:spacing w:before="400"/>
        <w:jc w:val="left"/>
        <w:rPr>
          <w:color w:val="131A45"/>
          <w:u w:val="single"/>
          <w:lang w:val="en-CA"/>
        </w:rPr>
      </w:pPr>
      <w:r w:rsidRPr="0033399E">
        <w:rPr>
          <w:rFonts w:ascii="Lexend SemiBold" w:eastAsia="Lexend SemiBold" w:hAnsi="Lexend SemiBold" w:cs="Lexend SemiBold"/>
          <w:color w:val="131A45"/>
          <w:lang w:val="en-CA"/>
        </w:rPr>
        <w:t>MINGUS, M.</w:t>
      </w:r>
      <w:r w:rsidRPr="0033399E">
        <w:rPr>
          <w:color w:val="131A45"/>
          <w:lang w:val="en-CA"/>
        </w:rPr>
        <w:t xml:space="preserve"> </w:t>
      </w:r>
      <w:r w:rsidRPr="00C23744">
        <w:rPr>
          <w:color w:val="131A45"/>
          <w:lang w:val="en-CA"/>
        </w:rPr>
        <w:t xml:space="preserve">(2011). </w:t>
      </w:r>
      <w:r w:rsidRPr="0033399E">
        <w:rPr>
          <w:color w:val="131A45"/>
          <w:lang w:val="en-CA"/>
        </w:rPr>
        <w:t xml:space="preserve">Access Intimacy: The Missing Link. </w:t>
      </w:r>
      <w:r w:rsidRPr="0033399E">
        <w:rPr>
          <w:i/>
          <w:color w:val="131A45"/>
          <w:lang w:val="en-CA"/>
        </w:rPr>
        <w:t>Leaving Evidence</w:t>
      </w:r>
      <w:r w:rsidRPr="0033399E">
        <w:rPr>
          <w:color w:val="131A45"/>
          <w:lang w:val="en-CA"/>
        </w:rPr>
        <w:t xml:space="preserve">. </w:t>
      </w:r>
      <w:hyperlink r:id="rId24">
        <w:r w:rsidR="00BF02D1" w:rsidRPr="00C23744">
          <w:rPr>
            <w:color w:val="131A45"/>
            <w:u w:val="single"/>
            <w:lang w:val="en-CA"/>
          </w:rPr>
          <w:t>https://leav</w:t>
        </w:r>
        <w:r w:rsidR="00BF02D1" w:rsidRPr="00C23744">
          <w:rPr>
            <w:color w:val="131A45"/>
            <w:u w:val="single"/>
            <w:lang w:val="en-CA"/>
          </w:rPr>
          <w:br/>
          <w:t>ingevidence.wordpress.com/2011/05/05/access-intimacy-the-missing-link/</w:t>
        </w:r>
      </w:hyperlink>
    </w:p>
    <w:p w14:paraId="4E1B00BD" w14:textId="77777777" w:rsidR="00BF02D1" w:rsidRPr="0033399E" w:rsidRDefault="00000000">
      <w:pPr>
        <w:spacing w:before="400"/>
        <w:jc w:val="left"/>
        <w:rPr>
          <w:color w:val="131A45"/>
          <w:u w:val="single"/>
          <w:lang w:val="en-CA"/>
        </w:rPr>
      </w:pPr>
      <w:r w:rsidRPr="0033399E">
        <w:rPr>
          <w:rFonts w:ascii="Lexend SemiBold" w:eastAsia="Lexend SemiBold" w:hAnsi="Lexend SemiBold" w:cs="Lexend SemiBold"/>
          <w:color w:val="131A45"/>
          <w:lang w:val="en-CA"/>
        </w:rPr>
        <w:t>MINGUS, M.</w:t>
      </w:r>
      <w:r w:rsidRPr="0033399E">
        <w:rPr>
          <w:color w:val="131A45"/>
          <w:lang w:val="en-CA"/>
        </w:rPr>
        <w:t xml:space="preserve"> </w:t>
      </w:r>
      <w:r w:rsidRPr="00C23744">
        <w:rPr>
          <w:color w:val="131A45"/>
          <w:lang w:val="en-CA"/>
        </w:rPr>
        <w:t>(2017).</w:t>
      </w:r>
      <w:r w:rsidRPr="0033399E">
        <w:rPr>
          <w:color w:val="131A45"/>
          <w:lang w:val="en-CA"/>
        </w:rPr>
        <w:t xml:space="preserve"> Forced Intimacy: An Ableist Norm. </w:t>
      </w:r>
      <w:r w:rsidRPr="0033399E">
        <w:rPr>
          <w:i/>
          <w:color w:val="131A45"/>
          <w:lang w:val="en-CA"/>
        </w:rPr>
        <w:t>Leaving Evidence</w:t>
      </w:r>
      <w:r w:rsidRPr="0033399E">
        <w:rPr>
          <w:color w:val="131A45"/>
          <w:lang w:val="en-CA"/>
        </w:rPr>
        <w:t xml:space="preserve">. </w:t>
      </w:r>
      <w:hyperlink r:id="rId25">
        <w:r w:rsidR="00BF02D1" w:rsidRPr="00C23744">
          <w:rPr>
            <w:color w:val="131A45"/>
            <w:u w:val="single"/>
            <w:lang w:val="en-CA"/>
          </w:rPr>
          <w:t>https://leavi</w:t>
        </w:r>
        <w:r w:rsidR="00BF02D1" w:rsidRPr="00C23744">
          <w:rPr>
            <w:color w:val="131A45"/>
            <w:u w:val="single"/>
            <w:lang w:val="en-CA"/>
          </w:rPr>
          <w:br/>
          <w:t>ngevidence.wordpress.com/2017/08/06/forced-intimacy-an-ableist-norm/</w:t>
        </w:r>
      </w:hyperlink>
    </w:p>
    <w:p w14:paraId="4E1B00BE" w14:textId="77777777" w:rsidR="00BF02D1" w:rsidRPr="00C23744" w:rsidRDefault="00000000">
      <w:pPr>
        <w:spacing w:before="800"/>
        <w:jc w:val="left"/>
        <w:rPr>
          <w:color w:val="121A44"/>
        </w:rPr>
      </w:pPr>
      <w:r w:rsidRPr="00C23744">
        <w:rPr>
          <w:rFonts w:ascii="Lexend SemiBold" w:eastAsia="Lexend SemiBold" w:hAnsi="Lexend SemiBold" w:cs="Lexend SemiBold"/>
          <w:color w:val="121A44"/>
        </w:rPr>
        <w:lastRenderedPageBreak/>
        <w:t>PAYETTE-DALPÉ, E.</w:t>
      </w:r>
      <w:r w:rsidRPr="00C23744">
        <w:rPr>
          <w:color w:val="121A44"/>
        </w:rPr>
        <w:t xml:space="preserve"> (2024).</w:t>
      </w:r>
      <w:r w:rsidRPr="00C23744">
        <w:rPr>
          <w:i/>
          <w:color w:val="121A44"/>
        </w:rPr>
        <w:t xml:space="preserve"> Les recommandations du comité de réflexion sur l’accessibilité des établissements culturels en arts vivants (Comité Duceppe), 2024 </w:t>
      </w:r>
      <w:r w:rsidRPr="00C23744">
        <w:rPr>
          <w:color w:val="121A44"/>
        </w:rPr>
        <w:t xml:space="preserve">[travail mené dans le cadre du projet doctoral, UQAM]. </w:t>
      </w:r>
    </w:p>
    <w:p w14:paraId="4E1B00BF" w14:textId="77777777" w:rsidR="00BF02D1" w:rsidRPr="00C23744" w:rsidRDefault="00000000">
      <w:pPr>
        <w:spacing w:before="400"/>
        <w:jc w:val="left"/>
        <w:rPr>
          <w:color w:val="121A44"/>
        </w:rPr>
      </w:pPr>
      <w:r w:rsidRPr="00C23744">
        <w:rPr>
          <w:rFonts w:ascii="Lexend SemiBold" w:eastAsia="Lexend SemiBold" w:hAnsi="Lexend SemiBold" w:cs="Lexend SemiBold"/>
          <w:color w:val="121A44"/>
        </w:rPr>
        <w:t xml:space="preserve">PIANOSI, R., PRESLEY, L., BUCHANAN, J., LÉVESQUE, A., SAVARD, S.-A. et LAM, J. </w:t>
      </w:r>
      <w:r w:rsidRPr="00C23744">
        <w:rPr>
          <w:color w:val="121A44"/>
        </w:rPr>
        <w:t xml:space="preserve">(2023). </w:t>
      </w:r>
      <w:r w:rsidRPr="00C23744">
        <w:rPr>
          <w:i/>
          <w:color w:val="121A44"/>
        </w:rPr>
        <w:t>Rapport sur l’incapacité et l’accessibilité au Canada</w:t>
      </w:r>
      <w:r w:rsidRPr="00C23744">
        <w:rPr>
          <w:color w:val="121A44"/>
        </w:rPr>
        <w:t xml:space="preserve"> (publication no 89-654-X). Statistique Canada. </w:t>
      </w:r>
      <w:hyperlink r:id="rId26">
        <w:r w:rsidR="00BF02D1" w:rsidRPr="00C23744">
          <w:rPr>
            <w:color w:val="121A44"/>
            <w:u w:val="single"/>
          </w:rPr>
          <w:t>https://www150.statcan.gc.ca/n1/fr/catalogue/89-654-X</w:t>
        </w:r>
      </w:hyperlink>
      <w:r w:rsidRPr="00C23744">
        <w:rPr>
          <w:color w:val="121A44"/>
        </w:rPr>
        <w:t xml:space="preserve"> </w:t>
      </w:r>
    </w:p>
    <w:p w14:paraId="4E1B00C0" w14:textId="77777777" w:rsidR="00BF02D1" w:rsidRPr="00C23744" w:rsidRDefault="00000000">
      <w:pPr>
        <w:spacing w:before="400"/>
        <w:jc w:val="left"/>
        <w:rPr>
          <w:color w:val="121A44"/>
          <w:lang w:val="en-CA"/>
        </w:rPr>
      </w:pPr>
      <w:r w:rsidRPr="00C23744">
        <w:rPr>
          <w:rFonts w:ascii="Lexend SemiBold" w:eastAsia="Lexend SemiBold" w:hAnsi="Lexend SemiBold" w:cs="Lexend SemiBold"/>
          <w:color w:val="121A44"/>
        </w:rPr>
        <w:t>QUÉINNEC, J.-P.</w:t>
      </w:r>
      <w:r w:rsidRPr="00C23744">
        <w:rPr>
          <w:color w:val="121A44"/>
        </w:rPr>
        <w:t xml:space="preserve"> (2016). Dispositif cartographique du son pour une scène sans bord. </w:t>
      </w:r>
      <w:proofErr w:type="spellStart"/>
      <w:r w:rsidRPr="00C23744">
        <w:rPr>
          <w:i/>
          <w:color w:val="121A44"/>
          <w:lang w:val="en-CA"/>
        </w:rPr>
        <w:t>Recherches</w:t>
      </w:r>
      <w:proofErr w:type="spellEnd"/>
      <w:r w:rsidRPr="00C23744">
        <w:rPr>
          <w:i/>
          <w:color w:val="121A44"/>
          <w:lang w:val="en-CA"/>
        </w:rPr>
        <w:t xml:space="preserve"> </w:t>
      </w:r>
      <w:proofErr w:type="spellStart"/>
      <w:r w:rsidRPr="00C23744">
        <w:rPr>
          <w:i/>
          <w:color w:val="121A44"/>
          <w:lang w:val="en-CA"/>
        </w:rPr>
        <w:t>sémiotiques</w:t>
      </w:r>
      <w:proofErr w:type="spellEnd"/>
      <w:r w:rsidRPr="00C23744">
        <w:rPr>
          <w:i/>
          <w:color w:val="121A44"/>
          <w:lang w:val="en-CA"/>
        </w:rPr>
        <w:t xml:space="preserve"> / Semiotic Inquiry, 36</w:t>
      </w:r>
      <w:r w:rsidRPr="00C23744">
        <w:rPr>
          <w:color w:val="121A44"/>
          <w:lang w:val="en-CA"/>
        </w:rPr>
        <w:t>(1-2), 271–294.</w:t>
      </w:r>
    </w:p>
    <w:p w14:paraId="4E1B00C1" w14:textId="77777777" w:rsidR="00BF02D1" w:rsidRPr="00C23744" w:rsidRDefault="00000000">
      <w:pPr>
        <w:spacing w:before="400"/>
        <w:jc w:val="left"/>
        <w:rPr>
          <w:color w:val="121A44"/>
          <w:lang w:val="en-CA"/>
        </w:rPr>
      </w:pPr>
      <w:r w:rsidRPr="00C23744">
        <w:rPr>
          <w:rFonts w:ascii="Lexend SemiBold" w:eastAsia="Lexend SemiBold" w:hAnsi="Lexend SemiBold" w:cs="Lexend SemiBold"/>
          <w:color w:val="121A44"/>
          <w:lang w:val="en-CA"/>
        </w:rPr>
        <w:t>SHEPARD, A.</w:t>
      </w:r>
      <w:r w:rsidRPr="00C23744">
        <w:rPr>
          <w:color w:val="121A44"/>
          <w:lang w:val="en-CA"/>
        </w:rPr>
        <w:t xml:space="preserve"> (2016). Kinetic Light.</w:t>
      </w:r>
      <w:r w:rsidRPr="00C23744">
        <w:rPr>
          <w:color w:val="121A44"/>
          <w:u w:val="single"/>
          <w:lang w:val="en-CA"/>
        </w:rPr>
        <w:t xml:space="preserve"> </w:t>
      </w:r>
      <w:hyperlink r:id="rId27">
        <w:r w:rsidR="00BF02D1" w:rsidRPr="00C23744">
          <w:rPr>
            <w:color w:val="121A44"/>
            <w:u w:val="single"/>
            <w:lang w:val="en-CA"/>
          </w:rPr>
          <w:t>https://kineticlight.org/</w:t>
        </w:r>
      </w:hyperlink>
    </w:p>
    <w:p w14:paraId="4E1B00C2" w14:textId="77777777" w:rsidR="00BF02D1" w:rsidRPr="00C23744" w:rsidRDefault="00000000">
      <w:pPr>
        <w:spacing w:before="400"/>
        <w:jc w:val="left"/>
        <w:rPr>
          <w:color w:val="121A44"/>
          <w:lang w:val="en-CA"/>
        </w:rPr>
      </w:pPr>
      <w:r w:rsidRPr="00C23744">
        <w:rPr>
          <w:rFonts w:ascii="Lexend SemiBold" w:eastAsia="Lexend SemiBold" w:hAnsi="Lexend SemiBold" w:cs="Lexend SemiBold"/>
          <w:color w:val="121A44"/>
          <w:lang w:val="en-CA"/>
        </w:rPr>
        <w:t xml:space="preserve">SIEVER, T. </w:t>
      </w:r>
      <w:r w:rsidRPr="00C23744">
        <w:rPr>
          <w:color w:val="121A44"/>
          <w:lang w:val="en-CA"/>
        </w:rPr>
        <w:t xml:space="preserve">(2010). </w:t>
      </w:r>
      <w:r w:rsidRPr="00C23744">
        <w:rPr>
          <w:i/>
          <w:color w:val="121A44"/>
          <w:lang w:val="en-CA"/>
        </w:rPr>
        <w:t>Disability Aesthetics</w:t>
      </w:r>
      <w:r w:rsidRPr="00C23744">
        <w:rPr>
          <w:color w:val="121A44"/>
          <w:lang w:val="en-CA"/>
        </w:rPr>
        <w:t xml:space="preserve">. University of Michigan Press. </w:t>
      </w:r>
    </w:p>
    <w:p w14:paraId="4E1B00C3" w14:textId="77777777" w:rsidR="00BF02D1" w:rsidRPr="00C23744" w:rsidRDefault="00000000">
      <w:pPr>
        <w:spacing w:before="400"/>
        <w:jc w:val="left"/>
        <w:rPr>
          <w:color w:val="121A44"/>
          <w:lang w:val="de-DE"/>
        </w:rPr>
      </w:pPr>
      <w:r w:rsidRPr="00C23744">
        <w:rPr>
          <w:rFonts w:ascii="Lexend SemiBold" w:eastAsia="Lexend SemiBold" w:hAnsi="Lexend SemiBold" w:cs="Lexend SemiBold"/>
          <w:color w:val="121A44"/>
          <w:lang w:val="en-CA"/>
        </w:rPr>
        <w:t xml:space="preserve">THOMPSON, H. </w:t>
      </w:r>
      <w:r w:rsidRPr="00C23744">
        <w:rPr>
          <w:color w:val="121A44"/>
          <w:lang w:val="en-CA"/>
        </w:rPr>
        <w:t>(2018). Blindness Gain and the Art of Non-Visual Reading. Blind Spot.</w:t>
      </w:r>
      <w:r w:rsidRPr="00C23744">
        <w:rPr>
          <w:color w:val="121A44"/>
          <w:lang w:val="de-DE"/>
        </w:rPr>
        <w:t xml:space="preserve"> </w:t>
      </w:r>
      <w:hyperlink r:id="rId28">
        <w:r w:rsidR="00BF02D1" w:rsidRPr="00C23744">
          <w:rPr>
            <w:color w:val="121A44"/>
            <w:u w:val="single"/>
            <w:lang w:val="en-CA"/>
          </w:rPr>
          <w:t>https://hannah-thompson.blogspot.com/2018/10/blindness-gain-and-art-of-non-visual.html</w:t>
        </w:r>
      </w:hyperlink>
    </w:p>
    <w:p w14:paraId="4E1B00C4" w14:textId="77777777" w:rsidR="00BF02D1" w:rsidRPr="00C23744" w:rsidRDefault="00000000">
      <w:pPr>
        <w:spacing w:before="400"/>
        <w:jc w:val="left"/>
        <w:rPr>
          <w:color w:val="121A44"/>
          <w:lang w:val="en-CA"/>
        </w:rPr>
      </w:pPr>
      <w:r w:rsidRPr="00C23744">
        <w:rPr>
          <w:rFonts w:ascii="Lexend SemiBold" w:eastAsia="Lexend SemiBold" w:hAnsi="Lexend SemiBold" w:cs="Lexend SemiBold"/>
          <w:color w:val="121A44"/>
          <w:lang w:val="en-CA"/>
        </w:rPr>
        <w:t xml:space="preserve">TREVIRANUS, J. </w:t>
      </w:r>
      <w:r w:rsidRPr="00C23744">
        <w:rPr>
          <w:color w:val="121A44"/>
          <w:lang w:val="en-CA"/>
        </w:rPr>
        <w:t xml:space="preserve">(2018). </w:t>
      </w:r>
      <w:r w:rsidRPr="00C23744">
        <w:rPr>
          <w:i/>
          <w:color w:val="121A44"/>
          <w:lang w:val="en-CA"/>
        </w:rPr>
        <w:t>The three dimensions of inclusive design: A design framework for a digitally transformed and complexly connected society</w:t>
      </w:r>
      <w:r w:rsidRPr="00C23744">
        <w:rPr>
          <w:color w:val="121A44"/>
          <w:lang w:val="en-CA"/>
        </w:rPr>
        <w:t xml:space="preserve"> [</w:t>
      </w:r>
      <w:proofErr w:type="spellStart"/>
      <w:r w:rsidRPr="00C23744">
        <w:rPr>
          <w:color w:val="121A44"/>
          <w:lang w:val="en-CA"/>
        </w:rPr>
        <w:t>thèse</w:t>
      </w:r>
      <w:proofErr w:type="spellEnd"/>
      <w:r w:rsidRPr="00C23744">
        <w:rPr>
          <w:color w:val="121A44"/>
          <w:lang w:val="en-CA"/>
        </w:rPr>
        <w:t xml:space="preserve"> de </w:t>
      </w:r>
      <w:proofErr w:type="spellStart"/>
      <w:r w:rsidRPr="00C23744">
        <w:rPr>
          <w:color w:val="121A44"/>
          <w:lang w:val="en-CA"/>
        </w:rPr>
        <w:t>doctorat</w:t>
      </w:r>
      <w:proofErr w:type="spellEnd"/>
      <w:r w:rsidRPr="00C23744">
        <w:rPr>
          <w:color w:val="121A44"/>
          <w:lang w:val="en-CA"/>
        </w:rPr>
        <w:t xml:space="preserve">, University College Dublin]. OCAD University Open Research Repository. </w:t>
      </w:r>
      <w:hyperlink r:id="rId29">
        <w:r w:rsidR="00BF02D1" w:rsidRPr="00C23744">
          <w:rPr>
            <w:color w:val="121A44"/>
            <w:u w:val="single"/>
            <w:lang w:val="en-CA"/>
          </w:rPr>
          <w:t>http://openresearch.ocadu.ca/id/eprint/2745/</w:t>
        </w:r>
      </w:hyperlink>
    </w:p>
    <w:p w14:paraId="4E1B00C5" w14:textId="77777777" w:rsidR="00BF02D1" w:rsidRPr="00C23744" w:rsidRDefault="00000000">
      <w:pPr>
        <w:spacing w:before="400"/>
        <w:jc w:val="left"/>
        <w:rPr>
          <w:color w:val="121A44"/>
          <w:u w:val="single"/>
          <w:lang w:val="en-CA"/>
        </w:rPr>
      </w:pPr>
      <w:r w:rsidRPr="00C23744">
        <w:rPr>
          <w:rFonts w:ascii="Lexend SemiBold" w:eastAsia="Lexend SemiBold" w:hAnsi="Lexend SemiBold" w:cs="Lexend SemiBold"/>
          <w:color w:val="121A44"/>
        </w:rPr>
        <w:t xml:space="preserve">WEST, V. </w:t>
      </w:r>
      <w:r w:rsidRPr="00C23744">
        <w:rPr>
          <w:color w:val="121A44"/>
        </w:rPr>
        <w:t xml:space="preserve">(2022). </w:t>
      </w:r>
      <w:r w:rsidRPr="00C23744">
        <w:rPr>
          <w:i/>
          <w:color w:val="121A44"/>
        </w:rPr>
        <w:t>L’esthétique de l’accessibilité : pratiques pour la signification fonctionnelle et artistique</w:t>
      </w:r>
      <w:r w:rsidRPr="00C23744">
        <w:rPr>
          <w:color w:val="121A44"/>
        </w:rPr>
        <w:t xml:space="preserve">. </w:t>
      </w:r>
      <w:r w:rsidRPr="00C23744">
        <w:rPr>
          <w:color w:val="121A44"/>
          <w:lang w:val="en-CA"/>
        </w:rPr>
        <w:t xml:space="preserve">Centre cannot hold. </w:t>
      </w:r>
      <w:hyperlink r:id="rId30">
        <w:r w:rsidR="00BF02D1" w:rsidRPr="00C23744">
          <w:rPr>
            <w:color w:val="121A44"/>
            <w:u w:val="single"/>
            <w:lang w:val="en-CA"/>
          </w:rPr>
          <w:t>​​https://fr.centrecannothold.com/blog/west-1</w:t>
        </w:r>
      </w:hyperlink>
    </w:p>
    <w:p w14:paraId="4E1B00C6" w14:textId="77777777" w:rsidR="00BF02D1" w:rsidRPr="00C23744" w:rsidRDefault="00000000">
      <w:pPr>
        <w:spacing w:before="400"/>
        <w:jc w:val="left"/>
        <w:rPr>
          <w:color w:val="121A44"/>
        </w:rPr>
      </w:pPr>
      <w:r w:rsidRPr="00C23744">
        <w:rPr>
          <w:rFonts w:ascii="Lexend SemiBold" w:eastAsia="Lexend SemiBold" w:hAnsi="Lexend SemiBold" w:cs="Lexend SemiBold"/>
          <w:color w:val="121A44"/>
          <w:lang w:val="en-CA"/>
        </w:rPr>
        <w:t xml:space="preserve">YOUNG, S. </w:t>
      </w:r>
      <w:r w:rsidRPr="00C23744">
        <w:rPr>
          <w:color w:val="121A44"/>
          <w:lang w:val="en-CA"/>
        </w:rPr>
        <w:t xml:space="preserve">(2014). </w:t>
      </w:r>
      <w:r w:rsidRPr="00C23744">
        <w:rPr>
          <w:i/>
          <w:color w:val="121A44"/>
          <w:lang w:val="en-CA"/>
        </w:rPr>
        <w:t>I’m not your inspiration, thank you very much</w:t>
      </w:r>
      <w:r w:rsidRPr="00C23744">
        <w:rPr>
          <w:color w:val="121A44"/>
          <w:lang w:val="en-CA"/>
        </w:rPr>
        <w:t xml:space="preserve"> [</w:t>
      </w:r>
      <w:proofErr w:type="spellStart"/>
      <w:r w:rsidRPr="00C23744">
        <w:rPr>
          <w:color w:val="121A44"/>
          <w:lang w:val="en-CA"/>
        </w:rPr>
        <w:t>vidéo</w:t>
      </w:r>
      <w:proofErr w:type="spellEnd"/>
      <w:r w:rsidRPr="00C23744">
        <w:rPr>
          <w:color w:val="121A44"/>
          <w:lang w:val="en-CA"/>
        </w:rPr>
        <w:t xml:space="preserve">]. </w:t>
      </w:r>
      <w:r w:rsidRPr="00C23744">
        <w:rPr>
          <w:color w:val="121A44"/>
        </w:rPr>
        <w:t xml:space="preserve">Conférences TED. </w:t>
      </w:r>
      <w:hyperlink r:id="rId31">
        <w:r w:rsidR="00BF02D1" w:rsidRPr="00C23744">
          <w:rPr>
            <w:color w:val="121A44"/>
            <w:u w:val="single"/>
          </w:rPr>
          <w:t>https://www.ted.com/talks/stella_young_i_m_not_your_inspiration_thank_you_very_much</w:t>
        </w:r>
      </w:hyperlink>
    </w:p>
    <w:p w14:paraId="4E1B00C7" w14:textId="43CC2782" w:rsidR="00BF02D1" w:rsidRDefault="00C23744">
      <w:pPr>
        <w:pStyle w:val="Titre2"/>
        <w:ind w:left="450"/>
        <w:jc w:val="left"/>
      </w:pPr>
      <w:bookmarkStart w:id="65" w:name="_heading=h.2r0uhxc" w:colFirst="0" w:colLast="0"/>
      <w:bookmarkEnd w:id="65"/>
      <w:r>
        <w:rPr>
          <w:noProof/>
        </w:rPr>
        <w:lastRenderedPageBreak/>
        <w:drawing>
          <wp:anchor distT="0" distB="0" distL="0" distR="0" simplePos="0" relativeHeight="251700224" behindDoc="1" locked="0" layoutInCell="1" hidden="0" allowOverlap="1" wp14:anchorId="4E1B014F" wp14:editId="3317CB63">
            <wp:simplePos x="0" y="0"/>
            <wp:positionH relativeFrom="page">
              <wp:posOffset>-608330</wp:posOffset>
            </wp:positionH>
            <wp:positionV relativeFrom="page">
              <wp:posOffset>697067</wp:posOffset>
            </wp:positionV>
            <wp:extent cx="4492625" cy="600075"/>
            <wp:effectExtent l="0" t="0" r="3175" b="0"/>
            <wp:wrapNone/>
            <wp:docPr id="130602835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rot="10800000">
                      <a:off x="0" y="0"/>
                      <a:ext cx="4492625" cy="600075"/>
                    </a:xfrm>
                    <a:prstGeom prst="rect">
                      <a:avLst/>
                    </a:prstGeom>
                    <a:ln/>
                  </pic:spPr>
                </pic:pic>
              </a:graphicData>
            </a:graphic>
          </wp:anchor>
        </w:drawing>
      </w:r>
      <w:r>
        <w:rPr>
          <w:noProof/>
        </w:rPr>
        <w:drawing>
          <wp:anchor distT="0" distB="0" distL="0" distR="0" simplePos="0" relativeHeight="251701248" behindDoc="1" locked="0" layoutInCell="1" hidden="0" allowOverlap="1" wp14:anchorId="4E1B0151" wp14:editId="0A147907">
            <wp:simplePos x="0" y="0"/>
            <wp:positionH relativeFrom="page">
              <wp:posOffset>239395</wp:posOffset>
            </wp:positionH>
            <wp:positionV relativeFrom="page">
              <wp:posOffset>697702</wp:posOffset>
            </wp:positionV>
            <wp:extent cx="4492625" cy="600075"/>
            <wp:effectExtent l="0" t="0" r="3175" b="0"/>
            <wp:wrapNone/>
            <wp:docPr id="130602836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rot="10800000">
                      <a:off x="0" y="0"/>
                      <a:ext cx="4492625" cy="600075"/>
                    </a:xfrm>
                    <a:prstGeom prst="rect">
                      <a:avLst/>
                    </a:prstGeom>
                    <a:ln/>
                  </pic:spPr>
                </pic:pic>
              </a:graphicData>
            </a:graphic>
          </wp:anchor>
        </w:drawing>
      </w:r>
      <w:r>
        <w:t xml:space="preserve">ANNEXE 1 - Concepts associés </w:t>
      </w:r>
    </w:p>
    <w:p w14:paraId="4E1B00C8" w14:textId="77777777" w:rsidR="00BF02D1" w:rsidRDefault="00000000">
      <w:pPr>
        <w:jc w:val="left"/>
        <w:rPr>
          <w:color w:val="131A45"/>
        </w:rPr>
      </w:pPr>
      <w:r>
        <w:rPr>
          <w:color w:val="131A45"/>
        </w:rPr>
        <w:t xml:space="preserve">Voici un survol de démarches artistiques parallèles à l’accessibilité créativité, qui peuvent vous inspirer. </w:t>
      </w:r>
    </w:p>
    <w:p w14:paraId="4E1B00C9" w14:textId="77777777" w:rsidR="00BF02D1" w:rsidRDefault="00000000">
      <w:pPr>
        <w:widowControl w:val="0"/>
        <w:spacing w:before="600"/>
        <w:jc w:val="left"/>
        <w:rPr>
          <w:color w:val="131A45"/>
        </w:rPr>
      </w:pPr>
      <w:r>
        <w:rPr>
          <w:b/>
          <w:color w:val="131A45"/>
        </w:rPr>
        <w:t>L’apport de la cécité</w:t>
      </w:r>
      <w:r>
        <w:rPr>
          <w:b/>
          <w:color w:val="131A45"/>
          <w:vertAlign w:val="superscript"/>
        </w:rPr>
        <w:footnoteReference w:id="17"/>
      </w:r>
      <w:r>
        <w:rPr>
          <w:b/>
          <w:color w:val="131A45"/>
        </w:rPr>
        <w:t xml:space="preserve"> </w:t>
      </w:r>
      <w:r>
        <w:rPr>
          <w:color w:val="131A45"/>
        </w:rPr>
        <w:t xml:space="preserve">: Terme et démarche de la professeure et chercheuse </w:t>
      </w:r>
      <w:r w:rsidRPr="00C23744">
        <w:rPr>
          <w:color w:val="131A45"/>
        </w:rPr>
        <w:t>Hannah Thompson</w:t>
      </w:r>
      <w:r>
        <w:rPr>
          <w:color w:val="131A45"/>
        </w:rPr>
        <w:t xml:space="preserve"> (2018), qui postule que la cécité n’est pas une « tragédie ou une destinée pire que la mort </w:t>
      </w:r>
      <w:r>
        <w:t>»</w:t>
      </w:r>
      <w:r>
        <w:rPr>
          <w:color w:val="131A45"/>
          <w:vertAlign w:val="superscript"/>
        </w:rPr>
        <w:footnoteReference w:id="18"/>
      </w:r>
      <w:r>
        <w:rPr>
          <w:color w:val="131A45"/>
        </w:rPr>
        <w:t xml:space="preserve">, et que les personnes aveugles et partiellement aveugles peuvent bénéficier d’une perspective multisensorielle qui célèbre l’inventivité, l’imagination et la créativité. La cécité, loin de ne causer que des déficits, peut aussi engendrer des développements compensatoires qui renforcent certains aspects du fonctionnement humain, qu'ils soient sensoriels, cognitifs ou émotionnels. Ces développements peuvent mener à de nouvelles expériences et visions du monde qui représentent des avantages pour les personnes atteintes et peuvent </w:t>
      </w:r>
      <w:proofErr w:type="spellStart"/>
      <w:proofErr w:type="gramStart"/>
      <w:r>
        <w:rPr>
          <w:color w:val="131A45"/>
        </w:rPr>
        <w:t>êtres</w:t>
      </w:r>
      <w:proofErr w:type="spellEnd"/>
      <w:r>
        <w:rPr>
          <w:color w:val="131A45"/>
        </w:rPr>
        <w:t xml:space="preserve"> explorées</w:t>
      </w:r>
      <w:proofErr w:type="gramEnd"/>
      <w:r>
        <w:rPr>
          <w:color w:val="131A45"/>
        </w:rPr>
        <w:t xml:space="preserve"> dans divers contextes, dont artistiques. </w:t>
      </w:r>
    </w:p>
    <w:p w14:paraId="4E1B00CA" w14:textId="77777777" w:rsidR="00BF02D1" w:rsidRDefault="00000000">
      <w:pPr>
        <w:widowControl w:val="0"/>
        <w:spacing w:before="400"/>
        <w:jc w:val="left"/>
        <w:rPr>
          <w:b/>
          <w:color w:val="131A45"/>
        </w:rPr>
      </w:pPr>
      <w:r>
        <w:rPr>
          <w:color w:val="131A45"/>
        </w:rPr>
        <w:t>Suivant cette notion, le terme « apport de la privation de sens</w:t>
      </w:r>
      <w:r>
        <w:rPr>
          <w:color w:val="131A45"/>
          <w:vertAlign w:val="superscript"/>
        </w:rPr>
        <w:footnoteReference w:id="19"/>
      </w:r>
      <w:r>
        <w:rPr>
          <w:color w:val="131A45"/>
        </w:rPr>
        <w:t xml:space="preserve"> </w:t>
      </w:r>
      <w:r>
        <w:t>»</w:t>
      </w:r>
      <w:r>
        <w:rPr>
          <w:color w:val="131A45"/>
        </w:rPr>
        <w:t xml:space="preserve"> est aussi apparu, pour l’extrapoler aux autres sens que la vue. </w:t>
      </w:r>
    </w:p>
    <w:p w14:paraId="4E1B00CB" w14:textId="77777777" w:rsidR="00BF02D1" w:rsidRDefault="00000000">
      <w:pPr>
        <w:widowControl w:val="0"/>
        <w:spacing w:before="600"/>
        <w:jc w:val="left"/>
        <w:rPr>
          <w:b/>
          <w:color w:val="131A45"/>
        </w:rPr>
      </w:pPr>
      <w:r>
        <w:rPr>
          <w:b/>
          <w:color w:val="131A45"/>
        </w:rPr>
        <w:t>L’esthétique du handicap</w:t>
      </w:r>
      <w:r>
        <w:rPr>
          <w:b/>
          <w:color w:val="131A45"/>
          <w:vertAlign w:val="superscript"/>
        </w:rPr>
        <w:footnoteReference w:id="20"/>
      </w:r>
      <w:r>
        <w:rPr>
          <w:b/>
          <w:color w:val="131A45"/>
        </w:rPr>
        <w:t xml:space="preserve"> :</w:t>
      </w:r>
      <w:r>
        <w:rPr>
          <w:color w:val="131A45"/>
        </w:rPr>
        <w:t xml:space="preserve"> Notion du chercheur et défenseur des droits des personnes handicapées </w:t>
      </w:r>
      <w:r w:rsidRPr="00C23744">
        <w:rPr>
          <w:color w:val="131A45"/>
        </w:rPr>
        <w:t>Tobin Siever</w:t>
      </w:r>
      <w:r>
        <w:rPr>
          <w:color w:val="131A45"/>
        </w:rPr>
        <w:t xml:space="preserve"> (2010), qui propose un cadre permettant de comprendre et d'apprécier le handicap au-delà des récits médicaux traditionnels, et de le considérer sous son angle esthétique, comme quelque chose qui peut être célébré, embrassé et représenté de diverses manières.</w:t>
      </w:r>
    </w:p>
    <w:p w14:paraId="4E1B00CC" w14:textId="77777777" w:rsidR="00BF02D1" w:rsidRDefault="00000000">
      <w:pPr>
        <w:widowControl w:val="0"/>
        <w:spacing w:before="600"/>
        <w:jc w:val="left"/>
        <w:rPr>
          <w:color w:val="131A45"/>
        </w:rPr>
      </w:pPr>
      <w:r>
        <w:rPr>
          <w:b/>
          <w:color w:val="131A45"/>
        </w:rPr>
        <w:lastRenderedPageBreak/>
        <w:t>L’esthétique de l’accessibilité</w:t>
      </w:r>
      <w:r>
        <w:rPr>
          <w:color w:val="131A45"/>
        </w:rPr>
        <w:t xml:space="preserve"> : Démarche de Véronique West (2022) qui réfléchit sur la manière dont l'art, la culture et le design peuvent être rendus plus accessibles à toutes et tous, indépendamment des limitations physiques, sensorielles ou cognitives.</w:t>
      </w:r>
      <w:r>
        <w:rPr>
          <w:rFonts w:ascii="Georgia" w:eastAsia="Georgia" w:hAnsi="Georgia" w:cs="Georgia"/>
          <w:color w:val="131A45"/>
        </w:rPr>
        <w:t xml:space="preserve"> </w:t>
      </w:r>
      <w:r>
        <w:rPr>
          <w:color w:val="131A45"/>
        </w:rPr>
        <w:t>C’est reconnaître que le corps handicapé possède une grande valeur pour la création et l’appréciation des formes nouvelles de l’art. Ce concept, pensé principalement pour les artistes dits de la diversité fonctionnelle, s’appuie sur l’idée que l’accessibilité n’est pas seulement une question fonctionnelle ou utilitaire, mais qu’elle peut également devenir un vecteur esthétique.</w:t>
      </w:r>
    </w:p>
    <w:p w14:paraId="4E1B00CD" w14:textId="77777777" w:rsidR="00BF02D1" w:rsidRDefault="00000000">
      <w:pPr>
        <w:widowControl w:val="0"/>
        <w:spacing w:before="600"/>
        <w:jc w:val="left"/>
        <w:rPr>
          <w:color w:val="131A45"/>
        </w:rPr>
      </w:pPr>
      <w:r>
        <w:rPr>
          <w:b/>
          <w:color w:val="131A45"/>
        </w:rPr>
        <w:t>L’esthétique de l’accès</w:t>
      </w:r>
      <w:r>
        <w:rPr>
          <w:color w:val="131A45"/>
        </w:rPr>
        <w:t xml:space="preserve"> : Démarche développée par la danseuse et chorégraphe Alice Shepard (2016), qui repose sur l'idée que l'accessibilité sur scène ne doit pas simplement constituer un ajout fonctionnel à la création artistique, mais bien un élément intrinsèque de l'esthétique d'une œuvre. Pensée pour le domaine de la danse et de la performance, elle implique que l'accessibilité ne doit pas être perçue comme une contrainte, mais comme une occasion d'exploration artistique.</w:t>
      </w:r>
    </w:p>
    <w:p w14:paraId="4E1B00CE" w14:textId="56B3F908" w:rsidR="00BF02D1" w:rsidRDefault="00C23744">
      <w:pPr>
        <w:pStyle w:val="Titre2"/>
        <w:ind w:left="360"/>
        <w:jc w:val="left"/>
        <w:rPr>
          <w:b/>
          <w:color w:val="20223B"/>
        </w:rPr>
      </w:pPr>
      <w:bookmarkStart w:id="66" w:name="_heading=h.1664s55" w:colFirst="0" w:colLast="0"/>
      <w:bookmarkEnd w:id="66"/>
      <w:r>
        <w:rPr>
          <w:noProof/>
        </w:rPr>
        <w:lastRenderedPageBreak/>
        <w:drawing>
          <wp:anchor distT="0" distB="0" distL="0" distR="0" simplePos="0" relativeHeight="251702272" behindDoc="1" locked="0" layoutInCell="1" hidden="0" allowOverlap="1" wp14:anchorId="4E1B0153" wp14:editId="55C85569">
            <wp:simplePos x="0" y="0"/>
            <wp:positionH relativeFrom="page">
              <wp:posOffset>-165735</wp:posOffset>
            </wp:positionH>
            <wp:positionV relativeFrom="page">
              <wp:posOffset>688177</wp:posOffset>
            </wp:positionV>
            <wp:extent cx="4492625" cy="600075"/>
            <wp:effectExtent l="0" t="0" r="3175" b="0"/>
            <wp:wrapNone/>
            <wp:docPr id="130602838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rot="10800000">
                      <a:off x="0" y="0"/>
                      <a:ext cx="4492625" cy="600075"/>
                    </a:xfrm>
                    <a:prstGeom prst="rect">
                      <a:avLst/>
                    </a:prstGeom>
                    <a:ln/>
                  </pic:spPr>
                </pic:pic>
              </a:graphicData>
            </a:graphic>
          </wp:anchor>
        </w:drawing>
      </w:r>
      <w:r>
        <w:rPr>
          <w:noProof/>
        </w:rPr>
        <w:drawing>
          <wp:anchor distT="0" distB="0" distL="0" distR="0" simplePos="0" relativeHeight="251703296" behindDoc="1" locked="0" layoutInCell="1" hidden="0" allowOverlap="1" wp14:anchorId="4E1B0155" wp14:editId="51658AF6">
            <wp:simplePos x="0" y="0"/>
            <wp:positionH relativeFrom="page">
              <wp:posOffset>366395</wp:posOffset>
            </wp:positionH>
            <wp:positionV relativeFrom="page">
              <wp:posOffset>689447</wp:posOffset>
            </wp:positionV>
            <wp:extent cx="4492625" cy="600075"/>
            <wp:effectExtent l="0" t="0" r="3175" b="0"/>
            <wp:wrapNone/>
            <wp:docPr id="130602838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rot="10800000">
                      <a:off x="0" y="0"/>
                      <a:ext cx="4492625" cy="600075"/>
                    </a:xfrm>
                    <a:prstGeom prst="rect">
                      <a:avLst/>
                    </a:prstGeom>
                    <a:ln/>
                  </pic:spPr>
                </pic:pic>
              </a:graphicData>
            </a:graphic>
          </wp:anchor>
        </w:drawing>
      </w:r>
      <w:r>
        <w:t xml:space="preserve">ANNEXE 2 - Devis d’accessibilité  </w:t>
      </w:r>
    </w:p>
    <w:p w14:paraId="4E1B00CF" w14:textId="77777777" w:rsidR="00BF02D1" w:rsidRDefault="00000000">
      <w:pPr>
        <w:widowControl w:val="0"/>
        <w:spacing w:before="0"/>
        <w:ind w:right="30"/>
        <w:jc w:val="left"/>
        <w:rPr>
          <w:color w:val="131A45"/>
        </w:rPr>
      </w:pPr>
      <w:r>
        <w:rPr>
          <w:color w:val="131A45"/>
        </w:rPr>
        <w:t xml:space="preserve">Voici des exemples de questions qui se trouvent sur le devis d’accessibilité de Théâtre Déchaînés, pour vous inspirer. </w:t>
      </w:r>
    </w:p>
    <w:p w14:paraId="4E1B00D0" w14:textId="77777777" w:rsidR="00BF02D1" w:rsidRDefault="00000000">
      <w:pPr>
        <w:widowControl w:val="0"/>
        <w:spacing w:before="400"/>
        <w:ind w:right="30"/>
        <w:jc w:val="left"/>
        <w:rPr>
          <w:b/>
          <w:color w:val="131A45"/>
        </w:rPr>
      </w:pPr>
      <w:r>
        <w:rPr>
          <w:color w:val="131A45"/>
        </w:rPr>
        <w:t xml:space="preserve">Vous pouvez aussi consulter le devis d’accessibilité proposé par le Conseil des arts de Montréal, disponible sur leur site web.  </w:t>
      </w:r>
    </w:p>
    <w:p w14:paraId="4E1B00D1" w14:textId="77777777" w:rsidR="00BF02D1" w:rsidRDefault="00000000">
      <w:pPr>
        <w:pStyle w:val="Titre3"/>
      </w:pPr>
      <w:bookmarkStart w:id="67" w:name="_heading=h.3q5sasy" w:colFirst="0" w:colLast="0"/>
      <w:bookmarkEnd w:id="67"/>
      <w:r>
        <w:t>VOS BESOINS</w:t>
      </w:r>
    </w:p>
    <w:p w14:paraId="4E1B00D2" w14:textId="77777777" w:rsidR="00BF02D1" w:rsidRDefault="00000000">
      <w:pPr>
        <w:widowControl w:val="0"/>
        <w:spacing w:before="400"/>
        <w:ind w:right="30"/>
        <w:jc w:val="left"/>
        <w:rPr>
          <w:i/>
          <w:color w:val="131A45"/>
        </w:rPr>
      </w:pPr>
      <w:r>
        <w:rPr>
          <w:i/>
          <w:color w:val="131A45"/>
        </w:rPr>
        <w:t>Les exemples ci-dessous s'inspirent d’une variété de situations et d’obstacles. On vous encourage à ajouter tout autre élément que vous estimez pertinent. Toutes les suggestions sont les bienvenues.</w:t>
      </w:r>
    </w:p>
    <w:p w14:paraId="4E1B00D3" w14:textId="77777777" w:rsidR="00BF02D1" w:rsidRDefault="00000000">
      <w:pPr>
        <w:widowControl w:val="0"/>
        <w:spacing w:before="400"/>
        <w:ind w:right="30"/>
        <w:rPr>
          <w:rFonts w:ascii="Lexend SemiBold" w:eastAsia="Lexend SemiBold" w:hAnsi="Lexend SemiBold" w:cs="Lexend SemiBold"/>
          <w:color w:val="131A45"/>
        </w:rPr>
      </w:pPr>
      <w:r>
        <w:rPr>
          <w:rFonts w:ascii="Lexend SemiBold" w:eastAsia="Lexend SemiBold" w:hAnsi="Lexend SemiBold" w:cs="Lexend SemiBold"/>
          <w:color w:val="131A45"/>
        </w:rPr>
        <w:t>Services en accessibilité</w:t>
      </w:r>
    </w:p>
    <w:p w14:paraId="4E1B00D4" w14:textId="77777777" w:rsidR="00BF02D1" w:rsidRDefault="00000000">
      <w:pPr>
        <w:widowControl w:val="0"/>
        <w:tabs>
          <w:tab w:val="left" w:pos="5339"/>
        </w:tabs>
        <w:spacing w:before="0"/>
        <w:ind w:right="30"/>
        <w:jc w:val="left"/>
        <w:rPr>
          <w:color w:val="131A45"/>
        </w:rPr>
      </w:pPr>
      <w:r>
        <w:rPr>
          <w:noProof/>
          <w:color w:val="131A45"/>
        </w:rPr>
        <w:drawing>
          <wp:inline distT="0" distB="0" distL="0" distR="0" wp14:anchorId="4E1B0157" wp14:editId="4E1B0158">
            <wp:extent cx="114300" cy="114300"/>
            <wp:effectExtent l="0" t="0" r="0" b="0"/>
            <wp:docPr id="13060283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114300" cy="114300"/>
                    </a:xfrm>
                    <a:prstGeom prst="rect">
                      <a:avLst/>
                    </a:prstGeom>
                    <a:ln/>
                  </pic:spPr>
                </pic:pic>
              </a:graphicData>
            </a:graphic>
          </wp:inline>
        </w:drawing>
      </w:r>
      <w:r>
        <w:rPr>
          <w:color w:val="131A45"/>
        </w:rPr>
        <w:t xml:space="preserve"> Service d'interprétation LSQ</w:t>
      </w:r>
      <w:r>
        <w:rPr>
          <w:color w:val="131A45"/>
        </w:rPr>
        <w:tab/>
      </w:r>
      <w:r>
        <w:rPr>
          <w:noProof/>
          <w:color w:val="131A45"/>
        </w:rPr>
        <w:drawing>
          <wp:inline distT="0" distB="0" distL="0" distR="0" wp14:anchorId="4E1B0159" wp14:editId="4E1B015A">
            <wp:extent cx="114300" cy="114300"/>
            <wp:effectExtent l="0" t="0" r="0" b="0"/>
            <wp:docPr id="13060283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114300" cy="114300"/>
                    </a:xfrm>
                    <a:prstGeom prst="rect">
                      <a:avLst/>
                    </a:prstGeom>
                    <a:ln/>
                  </pic:spPr>
                </pic:pic>
              </a:graphicData>
            </a:graphic>
          </wp:inline>
        </w:drawing>
      </w:r>
      <w:r>
        <w:rPr>
          <w:color w:val="131A45"/>
        </w:rPr>
        <w:t xml:space="preserve"> Service d'interprétation </w:t>
      </w:r>
      <w:r w:rsidRPr="00C23744">
        <w:rPr>
          <w:color w:val="131A45"/>
        </w:rPr>
        <w:t>ASL</w:t>
      </w:r>
    </w:p>
    <w:p w14:paraId="4E1B00D5" w14:textId="77777777" w:rsidR="00BF02D1" w:rsidRDefault="00000000">
      <w:pPr>
        <w:widowControl w:val="0"/>
        <w:tabs>
          <w:tab w:val="left" w:pos="5339"/>
        </w:tabs>
        <w:spacing w:before="0"/>
        <w:ind w:right="30"/>
        <w:jc w:val="left"/>
        <w:rPr>
          <w:color w:val="131A45"/>
        </w:rPr>
      </w:pPr>
      <w:r>
        <w:rPr>
          <w:noProof/>
          <w:color w:val="131A45"/>
        </w:rPr>
        <w:drawing>
          <wp:inline distT="0" distB="0" distL="0" distR="0" wp14:anchorId="4E1B015B" wp14:editId="4E1B015C">
            <wp:extent cx="114300" cy="114300"/>
            <wp:effectExtent l="0" t="0" r="0" b="0"/>
            <wp:docPr id="13060283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114300" cy="114300"/>
                    </a:xfrm>
                    <a:prstGeom prst="rect">
                      <a:avLst/>
                    </a:prstGeom>
                    <a:ln/>
                  </pic:spPr>
                </pic:pic>
              </a:graphicData>
            </a:graphic>
          </wp:inline>
        </w:drawing>
      </w:r>
      <w:r>
        <w:rPr>
          <w:color w:val="131A45"/>
        </w:rPr>
        <w:t xml:space="preserve"> Transport adapté</w:t>
      </w:r>
      <w:r>
        <w:rPr>
          <w:color w:val="131A45"/>
        </w:rPr>
        <w:tab/>
      </w:r>
      <w:r>
        <w:rPr>
          <w:noProof/>
          <w:color w:val="131A45"/>
        </w:rPr>
        <w:drawing>
          <wp:inline distT="0" distB="0" distL="0" distR="0" wp14:anchorId="4E1B015D" wp14:editId="4E1B015E">
            <wp:extent cx="114300" cy="114300"/>
            <wp:effectExtent l="0" t="0" r="0" b="0"/>
            <wp:docPr id="13060283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114300" cy="114300"/>
                    </a:xfrm>
                    <a:prstGeom prst="rect">
                      <a:avLst/>
                    </a:prstGeom>
                    <a:ln/>
                  </pic:spPr>
                </pic:pic>
              </a:graphicData>
            </a:graphic>
          </wp:inline>
        </w:drawing>
      </w:r>
      <w:r>
        <w:rPr>
          <w:color w:val="131A45"/>
        </w:rPr>
        <w:t xml:space="preserve"> Guide-voyant</w:t>
      </w:r>
    </w:p>
    <w:p w14:paraId="4E1B00D6" w14:textId="77777777" w:rsidR="00BF02D1" w:rsidRDefault="00000000">
      <w:pPr>
        <w:widowControl w:val="0"/>
        <w:spacing w:before="0"/>
        <w:ind w:right="30"/>
        <w:jc w:val="left"/>
        <w:rPr>
          <w:color w:val="131A45"/>
        </w:rPr>
      </w:pPr>
      <w:r>
        <w:rPr>
          <w:noProof/>
          <w:color w:val="131A45"/>
        </w:rPr>
        <w:drawing>
          <wp:inline distT="0" distB="0" distL="0" distR="0" wp14:anchorId="4E1B015F" wp14:editId="4E1B0160">
            <wp:extent cx="114300" cy="114300"/>
            <wp:effectExtent l="0" t="0" r="0" b="0"/>
            <wp:docPr id="13060283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114300" cy="114300"/>
                    </a:xfrm>
                    <a:prstGeom prst="rect">
                      <a:avLst/>
                    </a:prstGeom>
                    <a:ln/>
                  </pic:spPr>
                </pic:pic>
              </a:graphicData>
            </a:graphic>
          </wp:inline>
        </w:drawing>
      </w:r>
      <w:r>
        <w:rPr>
          <w:color w:val="131A45"/>
        </w:rPr>
        <w:t xml:space="preserve"> Autre</w:t>
      </w:r>
    </w:p>
    <w:p w14:paraId="4E1B00D7" w14:textId="77777777" w:rsidR="00BF02D1" w:rsidRDefault="00000000">
      <w:pPr>
        <w:widowControl w:val="0"/>
        <w:spacing w:before="400"/>
        <w:ind w:right="30"/>
        <w:rPr>
          <w:rFonts w:ascii="Lexend SemiBold" w:eastAsia="Lexend SemiBold" w:hAnsi="Lexend SemiBold" w:cs="Lexend SemiBold"/>
          <w:color w:val="131A45"/>
        </w:rPr>
      </w:pPr>
      <w:r>
        <w:rPr>
          <w:rFonts w:ascii="Lexend SemiBold" w:eastAsia="Lexend SemiBold" w:hAnsi="Lexend SemiBold" w:cs="Lexend SemiBold"/>
          <w:color w:val="131A45"/>
        </w:rPr>
        <w:t>Espace et lieu</w:t>
      </w:r>
    </w:p>
    <w:p w14:paraId="4E1B00D8" w14:textId="77777777" w:rsidR="00BF02D1" w:rsidRDefault="00000000">
      <w:pPr>
        <w:widowControl w:val="0"/>
        <w:tabs>
          <w:tab w:val="left" w:pos="5339"/>
        </w:tabs>
        <w:spacing w:before="0"/>
        <w:ind w:right="30"/>
        <w:jc w:val="left"/>
        <w:rPr>
          <w:color w:val="131A45"/>
        </w:rPr>
      </w:pPr>
      <w:r>
        <w:rPr>
          <w:noProof/>
          <w:color w:val="131A45"/>
        </w:rPr>
        <w:drawing>
          <wp:inline distT="0" distB="0" distL="0" distR="0" wp14:anchorId="4E1B0161" wp14:editId="4E1B0162">
            <wp:extent cx="114300" cy="114300"/>
            <wp:effectExtent l="0" t="0" r="0" b="0"/>
            <wp:docPr id="13060283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114300" cy="114300"/>
                    </a:xfrm>
                    <a:prstGeom prst="rect">
                      <a:avLst/>
                    </a:prstGeom>
                    <a:ln/>
                  </pic:spPr>
                </pic:pic>
              </a:graphicData>
            </a:graphic>
          </wp:inline>
        </w:drawing>
      </w:r>
      <w:r>
        <w:rPr>
          <w:color w:val="131A45"/>
        </w:rPr>
        <w:t xml:space="preserve"> Salle de bain adaptée</w:t>
      </w:r>
      <w:r>
        <w:rPr>
          <w:color w:val="131A45"/>
        </w:rPr>
        <w:tab/>
      </w:r>
      <w:r>
        <w:rPr>
          <w:noProof/>
          <w:color w:val="131A45"/>
        </w:rPr>
        <w:drawing>
          <wp:inline distT="0" distB="0" distL="0" distR="0" wp14:anchorId="4E1B0163" wp14:editId="4E1B0164">
            <wp:extent cx="114300" cy="114300"/>
            <wp:effectExtent l="0" t="0" r="0" b="0"/>
            <wp:docPr id="13060283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114300" cy="114300"/>
                    </a:xfrm>
                    <a:prstGeom prst="rect">
                      <a:avLst/>
                    </a:prstGeom>
                    <a:ln/>
                  </pic:spPr>
                </pic:pic>
              </a:graphicData>
            </a:graphic>
          </wp:inline>
        </w:drawing>
      </w:r>
      <w:r>
        <w:rPr>
          <w:color w:val="131A45"/>
        </w:rPr>
        <w:t xml:space="preserve"> Espace de retour au calme </w:t>
      </w:r>
    </w:p>
    <w:p w14:paraId="4E1B00D9" w14:textId="77777777" w:rsidR="00BF02D1" w:rsidRDefault="00000000">
      <w:pPr>
        <w:widowControl w:val="0"/>
        <w:tabs>
          <w:tab w:val="left" w:pos="5339"/>
        </w:tabs>
        <w:spacing w:before="0"/>
        <w:ind w:right="30"/>
        <w:jc w:val="left"/>
        <w:rPr>
          <w:color w:val="131A45"/>
        </w:rPr>
      </w:pPr>
      <w:r>
        <w:rPr>
          <w:noProof/>
          <w:color w:val="131A45"/>
        </w:rPr>
        <w:drawing>
          <wp:inline distT="0" distB="0" distL="0" distR="0" wp14:anchorId="4E1B0165" wp14:editId="4E1B0166">
            <wp:extent cx="114300" cy="114300"/>
            <wp:effectExtent l="0" t="0" r="0" b="0"/>
            <wp:docPr id="13060283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114300" cy="114300"/>
                    </a:xfrm>
                    <a:prstGeom prst="rect">
                      <a:avLst/>
                    </a:prstGeom>
                    <a:ln/>
                  </pic:spPr>
                </pic:pic>
              </a:graphicData>
            </a:graphic>
          </wp:inline>
        </w:drawing>
      </w:r>
      <w:r>
        <w:rPr>
          <w:color w:val="131A45"/>
        </w:rPr>
        <w:t xml:space="preserve"> Accès sans marche ou avec ascenseur</w:t>
      </w:r>
      <w:r>
        <w:rPr>
          <w:color w:val="131A45"/>
        </w:rPr>
        <w:tab/>
      </w:r>
      <w:r>
        <w:rPr>
          <w:noProof/>
          <w:color w:val="131A45"/>
        </w:rPr>
        <w:drawing>
          <wp:inline distT="0" distB="0" distL="0" distR="0" wp14:anchorId="4E1B0167" wp14:editId="4E1B0168">
            <wp:extent cx="114300" cy="114300"/>
            <wp:effectExtent l="0" t="0" r="0" b="0"/>
            <wp:docPr id="13060283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114300" cy="114300"/>
                    </a:xfrm>
                    <a:prstGeom prst="rect">
                      <a:avLst/>
                    </a:prstGeom>
                    <a:ln/>
                  </pic:spPr>
                </pic:pic>
              </a:graphicData>
            </a:graphic>
          </wp:inline>
        </w:drawing>
      </w:r>
      <w:r>
        <w:rPr>
          <w:color w:val="131A45"/>
        </w:rPr>
        <w:t xml:space="preserve"> Peu ou pas de marches à monter</w:t>
      </w:r>
    </w:p>
    <w:p w14:paraId="4E1B00DA" w14:textId="77777777" w:rsidR="00BF02D1" w:rsidRDefault="00000000">
      <w:pPr>
        <w:widowControl w:val="0"/>
        <w:spacing w:before="0"/>
        <w:ind w:right="30"/>
        <w:jc w:val="left"/>
        <w:rPr>
          <w:color w:val="131A45"/>
        </w:rPr>
      </w:pPr>
      <w:r>
        <w:rPr>
          <w:noProof/>
          <w:color w:val="131A45"/>
        </w:rPr>
        <w:drawing>
          <wp:inline distT="0" distB="0" distL="0" distR="0" wp14:anchorId="4E1B0169" wp14:editId="4E1B016A">
            <wp:extent cx="114300" cy="114300"/>
            <wp:effectExtent l="0" t="0" r="0" b="0"/>
            <wp:docPr id="13060283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114300" cy="114300"/>
                    </a:xfrm>
                    <a:prstGeom prst="rect">
                      <a:avLst/>
                    </a:prstGeom>
                    <a:ln/>
                  </pic:spPr>
                </pic:pic>
              </a:graphicData>
            </a:graphic>
          </wp:inline>
        </w:drawing>
      </w:r>
      <w:r>
        <w:rPr>
          <w:color w:val="131A45"/>
        </w:rPr>
        <w:t xml:space="preserve"> Autre</w:t>
      </w:r>
    </w:p>
    <w:p w14:paraId="4E1B00DB" w14:textId="77777777" w:rsidR="00BF02D1" w:rsidRDefault="00000000">
      <w:pPr>
        <w:widowControl w:val="0"/>
        <w:spacing w:before="400"/>
        <w:ind w:right="30"/>
        <w:rPr>
          <w:rFonts w:ascii="Lexend SemiBold" w:eastAsia="Lexend SemiBold" w:hAnsi="Lexend SemiBold" w:cs="Lexend SemiBold"/>
          <w:color w:val="131A45"/>
        </w:rPr>
      </w:pPr>
      <w:r>
        <w:rPr>
          <w:rFonts w:ascii="Lexend SemiBold" w:eastAsia="Lexend SemiBold" w:hAnsi="Lexend SemiBold" w:cs="Lexend SemiBold"/>
          <w:color w:val="131A45"/>
        </w:rPr>
        <w:t>Assise</w:t>
      </w:r>
    </w:p>
    <w:p w14:paraId="4E1B00DC" w14:textId="77777777" w:rsidR="00BF02D1" w:rsidRDefault="00000000">
      <w:pPr>
        <w:widowControl w:val="0"/>
        <w:tabs>
          <w:tab w:val="left" w:pos="5339"/>
        </w:tabs>
        <w:spacing w:before="0"/>
        <w:ind w:right="30"/>
        <w:jc w:val="left"/>
        <w:rPr>
          <w:color w:val="131A45"/>
        </w:rPr>
      </w:pPr>
      <w:r>
        <w:rPr>
          <w:noProof/>
          <w:color w:val="131A45"/>
        </w:rPr>
        <w:drawing>
          <wp:inline distT="0" distB="0" distL="0" distR="0" wp14:anchorId="4E1B016B" wp14:editId="4E1B016C">
            <wp:extent cx="114300" cy="114300"/>
            <wp:effectExtent l="0" t="0" r="0" b="0"/>
            <wp:docPr id="13060283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114300" cy="114300"/>
                    </a:xfrm>
                    <a:prstGeom prst="rect">
                      <a:avLst/>
                    </a:prstGeom>
                    <a:ln/>
                  </pic:spPr>
                </pic:pic>
              </a:graphicData>
            </a:graphic>
          </wp:inline>
        </w:drawing>
      </w:r>
      <w:r>
        <w:rPr>
          <w:color w:val="131A45"/>
        </w:rPr>
        <w:t xml:space="preserve"> Besoin d'une chaise</w:t>
      </w:r>
      <w:r>
        <w:rPr>
          <w:color w:val="131A45"/>
        </w:rPr>
        <w:tab/>
      </w:r>
      <w:r>
        <w:rPr>
          <w:noProof/>
          <w:color w:val="131A45"/>
        </w:rPr>
        <w:drawing>
          <wp:inline distT="0" distB="0" distL="0" distR="0" wp14:anchorId="4E1B016D" wp14:editId="4E1B016E">
            <wp:extent cx="114300" cy="114300"/>
            <wp:effectExtent l="0" t="0" r="0" b="0"/>
            <wp:docPr id="13060283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114300" cy="114300"/>
                    </a:xfrm>
                    <a:prstGeom prst="rect">
                      <a:avLst/>
                    </a:prstGeom>
                    <a:ln/>
                  </pic:spPr>
                </pic:pic>
              </a:graphicData>
            </a:graphic>
          </wp:inline>
        </w:drawing>
      </w:r>
      <w:r>
        <w:rPr>
          <w:color w:val="131A45"/>
        </w:rPr>
        <w:t xml:space="preserve"> Sans accoudoir</w:t>
      </w:r>
    </w:p>
    <w:p w14:paraId="4E1B00DD" w14:textId="77777777" w:rsidR="00BF02D1" w:rsidRDefault="00000000">
      <w:pPr>
        <w:widowControl w:val="0"/>
        <w:tabs>
          <w:tab w:val="left" w:pos="5339"/>
        </w:tabs>
        <w:spacing w:before="0"/>
        <w:ind w:right="30"/>
        <w:jc w:val="left"/>
        <w:rPr>
          <w:color w:val="131A45"/>
        </w:rPr>
      </w:pPr>
      <w:r>
        <w:rPr>
          <w:noProof/>
          <w:color w:val="131A45"/>
        </w:rPr>
        <w:drawing>
          <wp:inline distT="0" distB="0" distL="0" distR="0" wp14:anchorId="4E1B016F" wp14:editId="4E1B0170">
            <wp:extent cx="114300" cy="114300"/>
            <wp:effectExtent l="0" t="0" r="0" b="0"/>
            <wp:docPr id="13060283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114300" cy="114300"/>
                    </a:xfrm>
                    <a:prstGeom prst="rect">
                      <a:avLst/>
                    </a:prstGeom>
                    <a:ln/>
                  </pic:spPr>
                </pic:pic>
              </a:graphicData>
            </a:graphic>
          </wp:inline>
        </w:drawing>
      </w:r>
      <w:r>
        <w:rPr>
          <w:color w:val="131A45"/>
        </w:rPr>
        <w:t xml:space="preserve"> Chaise solide</w:t>
      </w:r>
      <w:r>
        <w:rPr>
          <w:color w:val="131A45"/>
        </w:rPr>
        <w:tab/>
      </w:r>
      <w:r>
        <w:rPr>
          <w:noProof/>
          <w:color w:val="131A45"/>
        </w:rPr>
        <w:drawing>
          <wp:inline distT="0" distB="0" distL="0" distR="0" wp14:anchorId="4E1B0171" wp14:editId="4E1B0172">
            <wp:extent cx="114300" cy="114300"/>
            <wp:effectExtent l="0" t="0" r="0" b="0"/>
            <wp:docPr id="13060283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114300" cy="114300"/>
                    </a:xfrm>
                    <a:prstGeom prst="rect">
                      <a:avLst/>
                    </a:prstGeom>
                    <a:ln/>
                  </pic:spPr>
                </pic:pic>
              </a:graphicData>
            </a:graphic>
          </wp:inline>
        </w:drawing>
      </w:r>
      <w:r>
        <w:rPr>
          <w:color w:val="131A45"/>
        </w:rPr>
        <w:t xml:space="preserve"> Ne peut pas s'asseoir au sol</w:t>
      </w:r>
    </w:p>
    <w:p w14:paraId="4E1B00DE" w14:textId="77777777" w:rsidR="00BF02D1" w:rsidRDefault="00000000">
      <w:pPr>
        <w:widowControl w:val="0"/>
        <w:tabs>
          <w:tab w:val="left" w:pos="5339"/>
        </w:tabs>
        <w:spacing w:before="0"/>
        <w:ind w:right="30"/>
        <w:jc w:val="left"/>
        <w:rPr>
          <w:color w:val="131A45"/>
        </w:rPr>
      </w:pPr>
      <w:r>
        <w:rPr>
          <w:noProof/>
          <w:color w:val="131A45"/>
        </w:rPr>
        <w:drawing>
          <wp:inline distT="0" distB="0" distL="0" distR="0" wp14:anchorId="4E1B0173" wp14:editId="4E1B0174">
            <wp:extent cx="114300" cy="114300"/>
            <wp:effectExtent l="0" t="0" r="0" b="0"/>
            <wp:docPr id="13060283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114300" cy="114300"/>
                    </a:xfrm>
                    <a:prstGeom prst="rect">
                      <a:avLst/>
                    </a:prstGeom>
                    <a:ln/>
                  </pic:spPr>
                </pic:pic>
              </a:graphicData>
            </a:graphic>
          </wp:inline>
        </w:drawing>
      </w:r>
      <w:r>
        <w:rPr>
          <w:color w:val="131A45"/>
        </w:rPr>
        <w:t xml:space="preserve"> Autre</w:t>
      </w:r>
    </w:p>
    <w:p w14:paraId="4E1B00DF" w14:textId="77777777" w:rsidR="00BF02D1" w:rsidRDefault="00000000">
      <w:pPr>
        <w:widowControl w:val="0"/>
        <w:spacing w:before="800"/>
        <w:ind w:right="28"/>
        <w:jc w:val="left"/>
        <w:rPr>
          <w:rFonts w:ascii="Lexend SemiBold" w:eastAsia="Lexend SemiBold" w:hAnsi="Lexend SemiBold" w:cs="Lexend SemiBold"/>
          <w:color w:val="131A45"/>
        </w:rPr>
      </w:pPr>
      <w:r>
        <w:rPr>
          <w:rFonts w:ascii="Lexend SemiBold" w:eastAsia="Lexend SemiBold" w:hAnsi="Lexend SemiBold" w:cs="Lexend SemiBold"/>
          <w:color w:val="131A45"/>
        </w:rPr>
        <w:lastRenderedPageBreak/>
        <w:t xml:space="preserve">Restrictions de mouvements : </w:t>
      </w:r>
    </w:p>
    <w:p w14:paraId="4E1B00E0" w14:textId="77777777" w:rsidR="00BF02D1" w:rsidRDefault="00000000">
      <w:pPr>
        <w:widowControl w:val="0"/>
        <w:spacing w:before="0"/>
        <w:ind w:right="30"/>
        <w:jc w:val="left"/>
        <w:rPr>
          <w:b/>
          <w:color w:val="131A45"/>
        </w:rPr>
      </w:pPr>
      <w:r>
        <w:rPr>
          <w:i/>
          <w:color w:val="131A45"/>
          <w:sz w:val="22"/>
          <w:szCs w:val="22"/>
        </w:rPr>
        <w:t>Exemples : je ne peux rester debout longtemps, je dois éviter les sauts ou la course.</w:t>
      </w:r>
    </w:p>
    <w:p w14:paraId="4E1B00E1" w14:textId="77777777" w:rsidR="00BF02D1" w:rsidRDefault="00000000">
      <w:pPr>
        <w:widowControl w:val="0"/>
        <w:spacing w:before="400"/>
        <w:ind w:right="30"/>
        <w:jc w:val="left"/>
        <w:rPr>
          <w:rFonts w:ascii="Lexend SemiBold" w:eastAsia="Lexend SemiBold" w:hAnsi="Lexend SemiBold" w:cs="Lexend SemiBold"/>
          <w:color w:val="131A45"/>
        </w:rPr>
      </w:pPr>
      <w:r>
        <w:rPr>
          <w:rFonts w:ascii="Lexend SemiBold" w:eastAsia="Lexend SemiBold" w:hAnsi="Lexend SemiBold" w:cs="Lexend SemiBold"/>
          <w:color w:val="131A45"/>
        </w:rPr>
        <w:t xml:space="preserve">Luminosité et environnement sonore : </w:t>
      </w:r>
    </w:p>
    <w:p w14:paraId="4E1B00E2" w14:textId="77777777" w:rsidR="00BF02D1" w:rsidRDefault="00000000">
      <w:pPr>
        <w:widowControl w:val="0"/>
        <w:spacing w:before="0"/>
        <w:ind w:right="30"/>
        <w:jc w:val="left"/>
        <w:rPr>
          <w:i/>
          <w:color w:val="131A45"/>
          <w:sz w:val="22"/>
          <w:szCs w:val="22"/>
        </w:rPr>
      </w:pPr>
      <w:r>
        <w:rPr>
          <w:i/>
          <w:color w:val="131A45"/>
          <w:sz w:val="22"/>
          <w:szCs w:val="22"/>
        </w:rPr>
        <w:t xml:space="preserve">Exemples : je ne peux pas dépasser un certain seuil de luminosité directement devant moi, </w:t>
      </w:r>
      <w:proofErr w:type="gramStart"/>
      <w:r>
        <w:rPr>
          <w:i/>
          <w:color w:val="131A45"/>
          <w:sz w:val="22"/>
          <w:szCs w:val="22"/>
        </w:rPr>
        <w:t>j’ai</w:t>
      </w:r>
      <w:proofErr w:type="gramEnd"/>
      <w:r>
        <w:rPr>
          <w:i/>
          <w:color w:val="131A45"/>
          <w:sz w:val="22"/>
          <w:szCs w:val="22"/>
        </w:rPr>
        <w:t xml:space="preserve"> des difficultés à travailler dans les espaces publics, les bruits ambiants et les forts volumes sonores nuisent grandement à ma concentration.</w:t>
      </w:r>
    </w:p>
    <w:p w14:paraId="4E1B00E3" w14:textId="77777777" w:rsidR="00BF02D1" w:rsidRDefault="00000000">
      <w:pPr>
        <w:widowControl w:val="0"/>
        <w:spacing w:before="400"/>
        <w:ind w:right="30"/>
        <w:jc w:val="left"/>
        <w:rPr>
          <w:rFonts w:ascii="Lexend SemiBold" w:eastAsia="Lexend SemiBold" w:hAnsi="Lexend SemiBold" w:cs="Lexend SemiBold"/>
          <w:color w:val="131A45"/>
        </w:rPr>
      </w:pPr>
      <w:r>
        <w:rPr>
          <w:rFonts w:ascii="Lexend SemiBold" w:eastAsia="Lexend SemiBold" w:hAnsi="Lexend SemiBold" w:cs="Lexend SemiBold"/>
          <w:color w:val="131A45"/>
        </w:rPr>
        <w:t xml:space="preserve">Outils informatiques, matériel imprimé, prise de notes : </w:t>
      </w:r>
    </w:p>
    <w:p w14:paraId="4E1B00E4" w14:textId="77777777" w:rsidR="00BF02D1" w:rsidRDefault="00000000">
      <w:pPr>
        <w:widowControl w:val="0"/>
        <w:spacing w:before="0"/>
        <w:ind w:right="30"/>
        <w:jc w:val="left"/>
        <w:rPr>
          <w:color w:val="131A45"/>
        </w:rPr>
      </w:pPr>
      <w:r>
        <w:rPr>
          <w:i/>
          <w:color w:val="131A45"/>
          <w:sz w:val="22"/>
          <w:szCs w:val="22"/>
        </w:rPr>
        <w:t>Exemples : je n'ai pas de matériel informatique adéquat pour les réunions en ligne, les documents imprimés doivent être en gros caractères, prendre des notes est un défi pour moi.</w:t>
      </w:r>
    </w:p>
    <w:p w14:paraId="4E1B00E5" w14:textId="77777777" w:rsidR="00BF02D1" w:rsidRDefault="00000000">
      <w:pPr>
        <w:widowControl w:val="0"/>
        <w:spacing w:before="400"/>
        <w:ind w:right="30"/>
        <w:rPr>
          <w:rFonts w:ascii="Lexend SemiBold" w:eastAsia="Lexend SemiBold" w:hAnsi="Lexend SemiBold" w:cs="Lexend SemiBold"/>
          <w:color w:val="131A45"/>
        </w:rPr>
      </w:pPr>
      <w:r>
        <w:rPr>
          <w:rFonts w:ascii="Lexend SemiBold" w:eastAsia="Lexend SemiBold" w:hAnsi="Lexend SemiBold" w:cs="Lexend SemiBold"/>
          <w:color w:val="131A45"/>
        </w:rPr>
        <w:t xml:space="preserve">Restrictions importantes d'horaire : </w:t>
      </w:r>
    </w:p>
    <w:p w14:paraId="4E1B00E6" w14:textId="77777777" w:rsidR="00BF02D1" w:rsidRDefault="00000000">
      <w:pPr>
        <w:widowControl w:val="0"/>
        <w:spacing w:before="0"/>
        <w:ind w:right="30"/>
        <w:jc w:val="left"/>
        <w:rPr>
          <w:color w:val="131A45"/>
        </w:rPr>
      </w:pPr>
      <w:r>
        <w:rPr>
          <w:i/>
          <w:color w:val="131A45"/>
          <w:sz w:val="22"/>
          <w:szCs w:val="22"/>
        </w:rPr>
        <w:t>Exemples : les heures de rencontre ne peuvent pas changer car j'ai un transport adapté, je ne peux pas travailler plus de deux heures sans une pause.</w:t>
      </w:r>
    </w:p>
    <w:p w14:paraId="4E1B00E7" w14:textId="77777777" w:rsidR="00BF02D1" w:rsidRDefault="00000000">
      <w:pPr>
        <w:widowControl w:val="0"/>
        <w:spacing w:before="400"/>
        <w:ind w:right="30"/>
        <w:rPr>
          <w:rFonts w:ascii="Lexend SemiBold" w:eastAsia="Lexend SemiBold" w:hAnsi="Lexend SemiBold" w:cs="Lexend SemiBold"/>
          <w:color w:val="131A45"/>
        </w:rPr>
      </w:pPr>
      <w:r>
        <w:rPr>
          <w:rFonts w:ascii="Lexend SemiBold" w:eastAsia="Lexend SemiBold" w:hAnsi="Lexend SemiBold" w:cs="Lexend SemiBold"/>
          <w:color w:val="131A45"/>
        </w:rPr>
        <w:t xml:space="preserve">Structure du travail et des attentes : </w:t>
      </w:r>
    </w:p>
    <w:p w14:paraId="4E1B00E8" w14:textId="77777777" w:rsidR="00BF02D1" w:rsidRDefault="00000000">
      <w:pPr>
        <w:widowControl w:val="0"/>
        <w:spacing w:before="0"/>
        <w:ind w:right="30"/>
        <w:jc w:val="left"/>
        <w:rPr>
          <w:b/>
          <w:color w:val="131A45"/>
        </w:rPr>
      </w:pPr>
      <w:r>
        <w:rPr>
          <w:i/>
          <w:color w:val="131A45"/>
          <w:sz w:val="22"/>
          <w:szCs w:val="22"/>
        </w:rPr>
        <w:t>Exemples : j'ai besoin de savoir précisément ce qui se passera dans la rencontre et ce qu'on attend de</w:t>
      </w:r>
      <w:r>
        <w:rPr>
          <w:i/>
          <w:color w:val="141A46"/>
          <w:sz w:val="22"/>
          <w:szCs w:val="22"/>
        </w:rPr>
        <w:t xml:space="preserve"> moi, les ren</w:t>
      </w:r>
      <w:r>
        <w:rPr>
          <w:i/>
          <w:color w:val="131A45"/>
          <w:sz w:val="22"/>
          <w:szCs w:val="22"/>
        </w:rPr>
        <w:t>contres en ligne sont préférables car les déplacements sont complexes pour moi, les surprises et les imprévus sont fort incommodants pour moi.</w:t>
      </w:r>
    </w:p>
    <w:p w14:paraId="4E1B00E9" w14:textId="77777777" w:rsidR="00BF02D1" w:rsidRDefault="00000000">
      <w:pPr>
        <w:widowControl w:val="0"/>
        <w:spacing w:before="400"/>
        <w:ind w:right="30"/>
        <w:jc w:val="left"/>
        <w:rPr>
          <w:rFonts w:ascii="Lexend SemiBold" w:eastAsia="Lexend SemiBold" w:hAnsi="Lexend SemiBold" w:cs="Lexend SemiBold"/>
          <w:color w:val="131A45"/>
        </w:rPr>
      </w:pPr>
      <w:r>
        <w:rPr>
          <w:rFonts w:ascii="Lexend SemiBold" w:eastAsia="Lexend SemiBold" w:hAnsi="Lexend SemiBold" w:cs="Lexend SemiBold"/>
          <w:color w:val="131A45"/>
        </w:rPr>
        <w:t xml:space="preserve">Moyens de communication : </w:t>
      </w:r>
    </w:p>
    <w:p w14:paraId="4E1B00EA" w14:textId="77777777" w:rsidR="00BF02D1" w:rsidRDefault="00000000">
      <w:pPr>
        <w:widowControl w:val="0"/>
        <w:spacing w:before="0"/>
        <w:ind w:right="30"/>
        <w:jc w:val="left"/>
        <w:rPr>
          <w:color w:val="131A45"/>
        </w:rPr>
      </w:pPr>
      <w:r>
        <w:rPr>
          <w:i/>
          <w:color w:val="131A45"/>
          <w:sz w:val="22"/>
          <w:szCs w:val="22"/>
        </w:rPr>
        <w:t>Exemples : c'est important que je reçoive les informations par écrit et pas seulement à l'oral, il faut communiquer avec moi principalement par courriel ou téléphone.</w:t>
      </w:r>
    </w:p>
    <w:p w14:paraId="4E1B00EB" w14:textId="77777777" w:rsidR="00BF02D1" w:rsidRDefault="00000000">
      <w:pPr>
        <w:widowControl w:val="0"/>
        <w:spacing w:before="400"/>
        <w:ind w:right="30"/>
        <w:jc w:val="left"/>
        <w:rPr>
          <w:rFonts w:ascii="Lexend SemiBold" w:eastAsia="Lexend SemiBold" w:hAnsi="Lexend SemiBold" w:cs="Lexend SemiBold"/>
          <w:color w:val="131A45"/>
        </w:rPr>
      </w:pPr>
      <w:r>
        <w:rPr>
          <w:rFonts w:ascii="Lexend SemiBold" w:eastAsia="Lexend SemiBold" w:hAnsi="Lexend SemiBold" w:cs="Lexend SemiBold"/>
          <w:color w:val="131A45"/>
        </w:rPr>
        <w:t xml:space="preserve">Entrée en salle et représentations : </w:t>
      </w:r>
    </w:p>
    <w:p w14:paraId="4E1B00EC" w14:textId="77777777" w:rsidR="00BF02D1" w:rsidRDefault="00000000">
      <w:pPr>
        <w:widowControl w:val="0"/>
        <w:spacing w:before="0"/>
        <w:ind w:right="30"/>
        <w:jc w:val="left"/>
        <w:rPr>
          <w:b/>
          <w:color w:val="131A45"/>
        </w:rPr>
      </w:pPr>
      <w:r>
        <w:rPr>
          <w:i/>
          <w:color w:val="131A45"/>
          <w:sz w:val="22"/>
          <w:szCs w:val="22"/>
        </w:rPr>
        <w:t xml:space="preserve">Exemples : il est difficile pour moi de participer à deux représentations la même journée ou deux jours consécutifs, je ne peux pas participer à </w:t>
      </w:r>
      <w:proofErr w:type="gramStart"/>
      <w:r>
        <w:rPr>
          <w:i/>
          <w:color w:val="131A45"/>
          <w:sz w:val="22"/>
          <w:szCs w:val="22"/>
        </w:rPr>
        <w:t>des représentations finissant</w:t>
      </w:r>
      <w:proofErr w:type="gramEnd"/>
      <w:r>
        <w:rPr>
          <w:i/>
          <w:color w:val="131A45"/>
          <w:sz w:val="22"/>
          <w:szCs w:val="22"/>
        </w:rPr>
        <w:t xml:space="preserve"> plus tard qu’à 23 heures.</w:t>
      </w:r>
    </w:p>
    <w:p w14:paraId="4E1B00ED" w14:textId="77777777" w:rsidR="00BF02D1" w:rsidRDefault="00000000">
      <w:pPr>
        <w:widowControl w:val="0"/>
        <w:spacing w:before="400"/>
        <w:ind w:right="30"/>
        <w:jc w:val="left"/>
        <w:rPr>
          <w:rFonts w:ascii="Lexend SemiBold" w:eastAsia="Lexend SemiBold" w:hAnsi="Lexend SemiBold" w:cs="Lexend SemiBold"/>
          <w:color w:val="131A45"/>
        </w:rPr>
      </w:pPr>
      <w:r>
        <w:rPr>
          <w:rFonts w:ascii="Lexend SemiBold" w:eastAsia="Lexend SemiBold" w:hAnsi="Lexend SemiBold" w:cs="Lexend SemiBold"/>
          <w:color w:val="131A45"/>
        </w:rPr>
        <w:t xml:space="preserve">Restrictions alimentaires et allergies : </w:t>
      </w:r>
    </w:p>
    <w:p w14:paraId="4E1B00EE" w14:textId="77777777" w:rsidR="00BF02D1" w:rsidRDefault="00000000">
      <w:pPr>
        <w:widowControl w:val="0"/>
        <w:spacing w:before="0"/>
        <w:ind w:right="30"/>
        <w:jc w:val="left"/>
        <w:rPr>
          <w:i/>
          <w:color w:val="131A45"/>
        </w:rPr>
      </w:pPr>
      <w:r>
        <w:rPr>
          <w:i/>
          <w:color w:val="131A45"/>
          <w:sz w:val="22"/>
          <w:szCs w:val="22"/>
        </w:rPr>
        <w:t>Exemples : j'ai une allergie grave aux arachides, j’ai une intolérance au lactose, je suis diabétique et je dois garder des collations avec moi, je fais des réactions allergiques au coton ou au lin.</w:t>
      </w:r>
    </w:p>
    <w:p w14:paraId="4E1B00EF" w14:textId="51A603E3" w:rsidR="00BF02D1" w:rsidRDefault="00C23744">
      <w:pPr>
        <w:pStyle w:val="Titre2"/>
        <w:widowControl w:val="0"/>
        <w:spacing w:before="0"/>
        <w:ind w:left="360" w:right="30"/>
        <w:jc w:val="left"/>
      </w:pPr>
      <w:bookmarkStart w:id="68" w:name="_heading=h.25b2l0r" w:colFirst="0" w:colLast="0"/>
      <w:bookmarkEnd w:id="68"/>
      <w:r>
        <w:rPr>
          <w:noProof/>
        </w:rPr>
        <w:lastRenderedPageBreak/>
        <w:drawing>
          <wp:anchor distT="0" distB="0" distL="0" distR="0" simplePos="0" relativeHeight="251705344" behindDoc="1" locked="0" layoutInCell="1" hidden="0" allowOverlap="1" wp14:anchorId="4E1B0177" wp14:editId="0DBA9CB3">
            <wp:simplePos x="0" y="0"/>
            <wp:positionH relativeFrom="page">
              <wp:posOffset>-275590</wp:posOffset>
            </wp:positionH>
            <wp:positionV relativeFrom="page">
              <wp:posOffset>702147</wp:posOffset>
            </wp:positionV>
            <wp:extent cx="4492625" cy="600075"/>
            <wp:effectExtent l="0" t="0" r="3175" b="0"/>
            <wp:wrapNone/>
            <wp:docPr id="13060283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rot="10800000">
                      <a:off x="0" y="0"/>
                      <a:ext cx="4492625" cy="600075"/>
                    </a:xfrm>
                    <a:prstGeom prst="rect">
                      <a:avLst/>
                    </a:prstGeom>
                    <a:ln/>
                  </pic:spPr>
                </pic:pic>
              </a:graphicData>
            </a:graphic>
          </wp:anchor>
        </w:drawing>
      </w:r>
      <w:r>
        <w:rPr>
          <w:noProof/>
        </w:rPr>
        <w:drawing>
          <wp:anchor distT="0" distB="0" distL="0" distR="0" simplePos="0" relativeHeight="251704320" behindDoc="1" locked="0" layoutInCell="1" hidden="0" allowOverlap="1" wp14:anchorId="4E1B0175" wp14:editId="68F00676">
            <wp:simplePos x="0" y="0"/>
            <wp:positionH relativeFrom="page">
              <wp:posOffset>828675</wp:posOffset>
            </wp:positionH>
            <wp:positionV relativeFrom="page">
              <wp:posOffset>702147</wp:posOffset>
            </wp:positionV>
            <wp:extent cx="4492869" cy="600075"/>
            <wp:effectExtent l="0" t="0" r="3175" b="0"/>
            <wp:wrapNone/>
            <wp:docPr id="130602837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rot="10800000">
                      <a:off x="0" y="0"/>
                      <a:ext cx="4492869" cy="600075"/>
                    </a:xfrm>
                    <a:prstGeom prst="rect">
                      <a:avLst/>
                    </a:prstGeom>
                    <a:ln/>
                  </pic:spPr>
                </pic:pic>
              </a:graphicData>
            </a:graphic>
          </wp:anchor>
        </w:drawing>
      </w:r>
      <w:r>
        <w:t>ANNEXE 3 - Schéma d’accessibilité</w:t>
      </w:r>
      <w:r>
        <w:rPr>
          <w:vertAlign w:val="superscript"/>
        </w:rPr>
        <w:footnoteReference w:id="21"/>
      </w:r>
    </w:p>
    <w:p w14:paraId="4E1B00F0" w14:textId="77777777" w:rsidR="00BF02D1" w:rsidRDefault="00000000">
      <w:pPr>
        <w:jc w:val="center"/>
      </w:pPr>
      <w:r>
        <w:rPr>
          <w:noProof/>
        </w:rPr>
        <w:drawing>
          <wp:inline distT="114300" distB="114300" distL="114300" distR="114300" wp14:anchorId="4E1B0179" wp14:editId="4E1B017A">
            <wp:extent cx="6093918" cy="6246812"/>
            <wp:effectExtent l="0" t="0" r="0" b="0"/>
            <wp:docPr id="1306028361" name="image3.jpg" descr="Les recommandations du comité de réflexion sur l'accessibilité des établissements culturels en arts vivant&#10;&#10;Les attitudes attendues des établissements culturels en processus d’accessibilité, selon le comité Duceppe&#10;Le comité Duceppe a identifié treize attitudes attendues d’un établissement culturel dans le processus d’accessibilité de ses publics divers :&#10;1. Le processus d’accessibilité d’un établissement culturel doit être basé sur le développe- ment d’une relation de confiance à long terme avec son public divers.&#10;2. Les établissements culturels doivent éviter le développement d’une accessibilité de façade, c’est-à-dire des mesures symboliques et superficielles, qui ne répondent pas aux besoins réels des personnes concernées. Il ne faut pas donner l’impression à un public qu’un lieu est accessible pour lui, alors qu’il ne l’est pas réellement.&#10;3. Les établissements culturels doivent penser leur accessibilité de manière plus globale et éviter de répondre uniquement aux micro-besoins.&#10;4. Les initiatives technologiques offertes dans un établissement culturel doivent répondre à de réels besoins des publics. Elles ne doivent pas être un outil de marketing pour les établissements culturels.&#10;5. Les établissements culturels doivent s’assurer d’une offre d’accessibilité de base. Pour ce faire, ils doivent réaliser un inventaire de leurs besoins et de leurs lacunes en matière d’accessibilité, ainsi que des services déjà offerts, et voir comment ceux-ci peuvent être améliorés.&#10;6. Les établissements culturels doivent s’éduquer sur les publics visés, comprendre leurs besoins réels et les inclure dans l’initiative.&#10;7. Les établissements culturels doivent fournir des informations claires, dans des formats accessibles aux publics visés, et les accompagner par l’entremise d’un interlocuteur responsable et redevable.&#10;8. Les établissements culturels doivent offrir des clés de sens pour l’œuvre et un soutien varié à sa compréhension.&#10;9. Partout où cela est possible, les établissements culturels doivent contribuer à prévenir et à atténuer la fatigue des publics divers.&#10;10. Les établissements culturels doivent permettre de déconstruire certains codes sociaux en salle de spectacle.&#10;11. Les établissements culturels doivent offrir des systèmes d’adaptation fonctionnels, avec une utilisation claire et encadrée pour leurs usagers.&#10;12. Les établissements culturels doivent participer à sensibiliser leur public général aux besoins des publics divers en salle de spectacle.&#10;13. Les établissements culturels doivent prévoir des mécanismes de rétroaction continue sur l’expérience des publics et tenir compte de ces rétroactions.&#10;&#10;Les dix éléments de base de l’accessibilité selon le comité Duceppe&#10;1. Lieux sécuritaires : éclairage adéquat, bandes réfléchissantes sur la première et la dernière marche, ascenseurs fonctionnels, rampes d’ac- cès, toilettes accessibles, salle de repos.&#10;2. Indications claires des lieux.&#10;3. Permettre une entrée en salle avant les spectacles et une sortie sécuritaire après les spectacles.&#10;4. Un site web accessible, avec des informations claires et regroupées.&#10;5. L’acceptation des programmes donnant droit à un accompagnateur gratuit (ex. : cartes CAL et ACCÈS 2).&#10;6. Un mot d’accueil qui sensibilise le public général à la présence d’outils d’accessibilité utilisés par les publics divers.&#10;7. Un personnel d’accueil formé, sensible et attentif aux besoins des spectateurs et spectatrices divers·es, et respectueux de leur consentement à l’aide.&#10;8. Une médiation pré- et post-spectacle pour sou- tenir la compréhension de l’œuvre en amont et en aval. Des documents préparatoires simples et accessibles.&#10;9. Un système d’aide à l’audition fonctionnel.&#10;10. La possibilité d’avoir accès à des représentations adaptées aux besoins de certains publics : audiodescription, sous-titrage, etc.&#10;&#10;Suggestions d’étapes préliminaires à un processus d’accessibilité pour un établissement culturel, selon le comité Duceppe&#10;1. S’éduquer auprès du public ciblé sur ses besoins réels.&#10;2. Former une équipe dédiée qui inclut le public visé et tisser des liens actifs et continus avec les communautés de la diversité capacitaire.&#10;3. Réaliser un inventaire des besoins, des ressources et des lacunes en matière d’accessibilité.&#10;4. S’assurer d’une base de services d’accessibilité et de sa qualité.&#10;5. Garantir la sécurité des publics visés.&#10;6. Informer clairement les publics sur ce qui a été mis en place pour répondre à leurs besoins.&#10;7. Mettre en place une méthode permettant aux publics divers de faire connaître leurs besoins de manière respectueuse de la confidentialité et de l’exercice de leur autonomie.&#10;8. Prévoir une méthode permettant au public de s’enquérir du service souhaité de manière autonome, s’il le souhaite.&#10;9. Établir un plan avec des mécanismes de rétroaction et d’évaluation continue auprès des publics de la diversité capacitaire.&#10;10. Sensibiliser le public général aux mesures d’accessibilité mise en place&#10;"/>
            <wp:cNvGraphicFramePr/>
            <a:graphic xmlns:a="http://schemas.openxmlformats.org/drawingml/2006/main">
              <a:graphicData uri="http://schemas.openxmlformats.org/drawingml/2006/picture">
                <pic:pic xmlns:pic="http://schemas.openxmlformats.org/drawingml/2006/picture">
                  <pic:nvPicPr>
                    <pic:cNvPr id="0" name="image3.jpg" descr="Les recommandations du comité de réflexion sur l'accessibilité des établissements culturels en arts vivant&#10;&#10;Les attitudes attendues des établissements culturels en processus d’accessibilité, selon le comité Duceppe&#10;Le comité Duceppe a identifié treize attitudes attendues d’un établissement culturel dans le processus d’accessibilité de ses publics divers :&#10;1. Le processus d’accessibilité d’un établissement culturel doit être basé sur le développe- ment d’une relation de confiance à long terme avec son public divers.&#10;2. Les établissements culturels doivent éviter le développement d’une accessibilité de façade, c’est-à-dire des mesures symboliques et superficielles, qui ne répondent pas aux besoins réels des personnes concernées. Il ne faut pas donner l’impression à un public qu’un lieu est accessible pour lui, alors qu’il ne l’est pas réellement.&#10;3. Les établissements culturels doivent penser leur accessibilité de manière plus globale et éviter de répondre uniquement aux micro-besoins.&#10;4. Les initiatives technologiques offertes dans un établissement culturel doivent répondre à de réels besoins des publics. Elles ne doivent pas être un outil de marketing pour les établissements culturels.&#10;5. Les établissements culturels doivent s’assurer d’une offre d’accessibilité de base. Pour ce faire, ils doivent réaliser un inventaire de leurs besoins et de leurs lacunes en matière d’accessibilité, ainsi que des services déjà offerts, et voir comment ceux-ci peuvent être améliorés.&#10;6. Les établissements culturels doivent s’éduquer sur les publics visés, comprendre leurs besoins réels et les inclure dans l’initiative.&#10;7. Les établissements culturels doivent fournir des informations claires, dans des formats accessibles aux publics visés, et les accompagner par l’entremise d’un interlocuteur responsable et redevable.&#10;8. Les établissements culturels doivent offrir des clés de sens pour l’œuvre et un soutien varié à sa compréhension.&#10;9. Partout où cela est possible, les établissements culturels doivent contribuer à prévenir et à atténuer la fatigue des publics divers.&#10;10. Les établissements culturels doivent permettre de déconstruire certains codes sociaux en salle de spectacle.&#10;11. Les établissements culturels doivent offrir des systèmes d’adaptation fonctionnels, avec une utilisation claire et encadrée pour leurs usagers.&#10;12. Les établissements culturels doivent participer à sensibiliser leur public général aux besoins des publics divers en salle de spectacle.&#10;13. Les établissements culturels doivent prévoir des mécanismes de rétroaction continue sur l’expérience des publics et tenir compte de ces rétroactions.&#10;&#10;Les dix éléments de base de l’accessibilité selon le comité Duceppe&#10;1. Lieux sécuritaires : éclairage adéquat, bandes réfléchissantes sur la première et la dernière marche, ascenseurs fonctionnels, rampes d’ac- cès, toilettes accessibles, salle de repos.&#10;2. Indications claires des lieux.&#10;3. Permettre une entrée en salle avant les spectacles et une sortie sécuritaire après les spectacles.&#10;4. Un site web accessible, avec des informations claires et regroupées.&#10;5. L’acceptation des programmes donnant droit à un accompagnateur gratuit (ex. : cartes CAL et ACCÈS 2).&#10;6. Un mot d’accueil qui sensibilise le public général à la présence d’outils d’accessibilité utilisés par les publics divers.&#10;7. Un personnel d’accueil formé, sensible et attentif aux besoins des spectateurs et spectatrices divers·es, et respectueux de leur consentement à l’aide.&#10;8. Une médiation pré- et post-spectacle pour sou- tenir la compréhension de l’œuvre en amont et en aval. Des documents préparatoires simples et accessibles.&#10;9. Un système d’aide à l’audition fonctionnel.&#10;10. La possibilité d’avoir accès à des représentations adaptées aux besoins de certains publics : audiodescription, sous-titrage, etc.&#10;&#10;Suggestions d’étapes préliminaires à un processus d’accessibilité pour un établissement culturel, selon le comité Duceppe&#10;1. S’éduquer auprès du public ciblé sur ses besoins réels.&#10;2. Former une équipe dédiée qui inclut le public visé et tisser des liens actifs et continus avec les communautés de la diversité capacitaire.&#10;3. Réaliser un inventaire des besoins, des ressources et des lacunes en matière d’accessibilité.&#10;4. S’assurer d’une base de services d’accessibilité et de sa qualité.&#10;5. Garantir la sécurité des publics visés.&#10;6. Informer clairement les publics sur ce qui a été mis en place pour répondre à leurs besoins.&#10;7. Mettre en place une méthode permettant aux publics divers de faire connaître leurs besoins de manière respectueuse de la confidentialité et de l’exercice de leur autonomie.&#10;8. Prévoir une méthode permettant au public de s’enquérir du service souhaité de manière autonome, s’il le souhaite.&#10;9. Établir un plan avec des mécanismes de rétroaction et d’évaluation continue auprès des publics de la diversité capacitaire.&#10;10. Sensibiliser le public général aux mesures d’accessibilité mise en place&#10;"/>
                    <pic:cNvPicPr preferRelativeResize="0"/>
                  </pic:nvPicPr>
                  <pic:blipFill>
                    <a:blip r:embed="rId33"/>
                    <a:srcRect/>
                    <a:stretch>
                      <a:fillRect/>
                    </a:stretch>
                  </pic:blipFill>
                  <pic:spPr>
                    <a:xfrm>
                      <a:off x="0" y="0"/>
                      <a:ext cx="6093918" cy="6246812"/>
                    </a:xfrm>
                    <a:prstGeom prst="rect">
                      <a:avLst/>
                    </a:prstGeom>
                    <a:ln/>
                  </pic:spPr>
                </pic:pic>
              </a:graphicData>
            </a:graphic>
          </wp:inline>
        </w:drawing>
      </w:r>
    </w:p>
    <w:p w14:paraId="4E1B00F1" w14:textId="77777777" w:rsidR="00BF02D1" w:rsidRDefault="00000000">
      <w:pPr>
        <w:pStyle w:val="Titre2"/>
        <w:ind w:right="360"/>
        <w:rPr>
          <w:color w:val="131A45"/>
          <w:shd w:val="clear" w:color="auto" w:fill="F9CB9C"/>
        </w:rPr>
      </w:pPr>
      <w:bookmarkStart w:id="69" w:name="_heading=h.kgcv8k" w:colFirst="0" w:colLast="0"/>
      <w:bookmarkEnd w:id="69"/>
      <w:r>
        <w:rPr>
          <w:noProof/>
        </w:rPr>
        <w:lastRenderedPageBreak/>
        <w:drawing>
          <wp:anchor distT="0" distB="0" distL="0" distR="0" simplePos="0" relativeHeight="251706368" behindDoc="1" locked="0" layoutInCell="1" hidden="0" allowOverlap="1" wp14:anchorId="4E1B017B" wp14:editId="77DFBC94">
            <wp:simplePos x="0" y="0"/>
            <wp:positionH relativeFrom="page">
              <wp:posOffset>4993005</wp:posOffset>
            </wp:positionH>
            <wp:positionV relativeFrom="page">
              <wp:posOffset>705322</wp:posOffset>
            </wp:positionV>
            <wp:extent cx="4492869" cy="600075"/>
            <wp:effectExtent l="0" t="0" r="3175" b="0"/>
            <wp:wrapNone/>
            <wp:docPr id="13060283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492869" cy="600075"/>
                    </a:xfrm>
                    <a:prstGeom prst="rect">
                      <a:avLst/>
                    </a:prstGeom>
                    <a:ln/>
                  </pic:spPr>
                </pic:pic>
              </a:graphicData>
            </a:graphic>
          </wp:anchor>
        </w:drawing>
      </w:r>
      <w:r>
        <w:t>Et ensuite ?</w:t>
      </w:r>
    </w:p>
    <w:p w14:paraId="4E1B00F2" w14:textId="77777777" w:rsidR="00BF02D1" w:rsidRDefault="00000000">
      <w:pPr>
        <w:widowControl w:val="0"/>
        <w:jc w:val="left"/>
        <w:rPr>
          <w:color w:val="131A45"/>
        </w:rPr>
      </w:pPr>
      <w:r>
        <w:rPr>
          <w:color w:val="131A45"/>
        </w:rPr>
        <w:t xml:space="preserve">Ce document se veut un outil d’introduction; l’accessibilité créative et ses sujets connexes comportent un grand nombre de détails, d’enjeux complexes et de ramifications. Mais la conversation ne s’arrête pas ici. </w:t>
      </w:r>
    </w:p>
    <w:p w14:paraId="4E1B00F3" w14:textId="77777777" w:rsidR="00BF02D1" w:rsidRDefault="00000000">
      <w:pPr>
        <w:widowControl w:val="0"/>
        <w:spacing w:before="400"/>
        <w:jc w:val="left"/>
        <w:rPr>
          <w:color w:val="131A45"/>
        </w:rPr>
      </w:pPr>
      <w:r>
        <w:rPr>
          <w:color w:val="131A45"/>
        </w:rPr>
        <w:t xml:space="preserve">Vous avez des réflexions que vous aimeriez nous partager </w:t>
      </w:r>
      <w:proofErr w:type="gramStart"/>
      <w:r>
        <w:rPr>
          <w:color w:val="131A45"/>
        </w:rPr>
        <w:t>suite à</w:t>
      </w:r>
      <w:proofErr w:type="gramEnd"/>
      <w:r>
        <w:rPr>
          <w:color w:val="131A45"/>
        </w:rPr>
        <w:t xml:space="preserve"> votre lecture ? </w:t>
      </w:r>
    </w:p>
    <w:p w14:paraId="4E1B00F4" w14:textId="77777777" w:rsidR="00BF02D1" w:rsidRDefault="00000000">
      <w:pPr>
        <w:widowControl w:val="0"/>
        <w:spacing w:before="400"/>
        <w:jc w:val="left"/>
        <w:rPr>
          <w:color w:val="131A45"/>
        </w:rPr>
      </w:pPr>
      <w:r>
        <w:rPr>
          <w:color w:val="131A45"/>
        </w:rPr>
        <w:t xml:space="preserve">N’hésitez pas à communiquer avec nous en écrivant à </w:t>
      </w:r>
      <w:hyperlink r:id="rId34">
        <w:r w:rsidR="00BF02D1">
          <w:rPr>
            <w:rFonts w:ascii="Lexend SemiBold" w:eastAsia="Lexend SemiBold" w:hAnsi="Lexend SemiBold" w:cs="Lexend SemiBold"/>
            <w:color w:val="131A45"/>
            <w:u w:val="single"/>
          </w:rPr>
          <w:t>info@theatredechaines.com</w:t>
        </w:r>
      </w:hyperlink>
      <w:r>
        <w:rPr>
          <w:color w:val="131A45"/>
        </w:rPr>
        <w:t>.</w:t>
      </w:r>
    </w:p>
    <w:p w14:paraId="4E1B00F5" w14:textId="0ADF0E59" w:rsidR="00BF02D1" w:rsidRDefault="00000000">
      <w:pPr>
        <w:widowControl w:val="0"/>
        <w:spacing w:before="400"/>
        <w:jc w:val="left"/>
        <w:rPr>
          <w:rFonts w:ascii="Lexend SemiBold" w:eastAsia="Lexend SemiBold" w:hAnsi="Lexend SemiBold" w:cs="Lexend SemiBold"/>
          <w:color w:val="131A45"/>
        </w:rPr>
      </w:pPr>
      <w:r>
        <w:rPr>
          <w:color w:val="131A45"/>
        </w:rPr>
        <w:t>Nous vous invitons à continuer de suivre nos divers projets, conférences et articles à la suite de votre lecture de cet outil de réflexion, car il y a encore tant à dire sur le sujet. Dans les prochains mois et années, nous continuerons aussi d’élaborer des outils accessibles et à multiplier les méthodes de partage pour améliorer l’accessibilité des arts vivants.</w:t>
      </w:r>
    </w:p>
    <w:p w14:paraId="4E1B00F6" w14:textId="77777777" w:rsidR="00BF02D1" w:rsidRDefault="00000000">
      <w:pPr>
        <w:widowControl w:val="0"/>
        <w:spacing w:before="400"/>
        <w:jc w:val="left"/>
        <w:rPr>
          <w:color w:val="131A45"/>
        </w:rPr>
      </w:pPr>
      <w:r>
        <w:rPr>
          <w:color w:val="131A45"/>
        </w:rPr>
        <w:t xml:space="preserve">Vous pouvez aussi nous rejoindre en tout temps et pour toute question, si vous désirez recevoir un accompagnement dans vos processus inclusifs ou si vous voulez continuer vos réflexions à travers les ateliers sur l’accessibilité créative que nous offrons. </w:t>
      </w:r>
    </w:p>
    <w:p w14:paraId="46E8B90C" w14:textId="5D36D8AF" w:rsidR="00E81238" w:rsidRDefault="00E81238">
      <w:pPr>
        <w:widowControl w:val="0"/>
        <w:spacing w:before="400"/>
        <w:jc w:val="left"/>
        <w:rPr>
          <w:color w:val="131A45"/>
        </w:rPr>
      </w:pPr>
      <w:r w:rsidRPr="0081599E">
        <w:rPr>
          <w:color w:val="131A45"/>
        </w:rPr>
        <w:t xml:space="preserve">Pour en savoir plus sur nos formations et ateliers : </w:t>
      </w:r>
      <w:hyperlink r:id="rId35" w:history="1">
        <w:r w:rsidR="00D42C04">
          <w:rPr>
            <w:i/>
            <w:iCs/>
            <w:color w:val="131A45"/>
            <w:u w:val="single"/>
          </w:rPr>
          <w:t>www.theatredechaines.com/services</w:t>
        </w:r>
      </w:hyperlink>
      <w:r w:rsidR="00E67913" w:rsidRPr="00E67913">
        <w:rPr>
          <w:i/>
          <w:iCs/>
          <w:color w:val="131A45"/>
        </w:rPr>
        <w:t>.</w:t>
      </w:r>
    </w:p>
    <w:p w14:paraId="4E1B00F7" w14:textId="77777777" w:rsidR="00BF02D1" w:rsidRDefault="00000000">
      <w:pPr>
        <w:widowControl w:val="0"/>
        <w:spacing w:before="400"/>
        <w:jc w:val="left"/>
        <w:rPr>
          <w:color w:val="131A45"/>
        </w:rPr>
      </w:pPr>
      <w:r>
        <w:rPr>
          <w:color w:val="131A45"/>
        </w:rPr>
        <w:t xml:space="preserve">Nous continuerons aussi de mettre à jour et de partager des ressources supplémentaires sur l’accessibilité que vous pouvez trouver sur </w:t>
      </w:r>
      <w:hyperlink r:id="rId36">
        <w:r w:rsidR="00BF02D1">
          <w:rPr>
            <w:i/>
            <w:color w:val="131A45"/>
            <w:u w:val="single"/>
          </w:rPr>
          <w:t>www.theatredechaines.com/ressources</w:t>
        </w:r>
      </w:hyperlink>
      <w:r>
        <w:rPr>
          <w:color w:val="131A45"/>
        </w:rPr>
        <w:t xml:space="preserve">, ainsi qu’à travers notre infolettre. </w:t>
      </w:r>
    </w:p>
    <w:p w14:paraId="4E1B00F8" w14:textId="77777777" w:rsidR="00BF02D1" w:rsidRDefault="00000000">
      <w:pPr>
        <w:pStyle w:val="Titre2"/>
      </w:pPr>
      <w:bookmarkStart w:id="70" w:name="_heading=h.34g0dwd" w:colFirst="0" w:colLast="0"/>
      <w:bookmarkEnd w:id="70"/>
      <w:r>
        <w:rPr>
          <w:noProof/>
        </w:rPr>
        <w:lastRenderedPageBreak/>
        <w:drawing>
          <wp:anchor distT="114300" distB="114300" distL="114300" distR="114300" simplePos="0" relativeHeight="251707392" behindDoc="0" locked="0" layoutInCell="1" hidden="0" allowOverlap="1" wp14:anchorId="4E1B017D" wp14:editId="4E1B017E">
            <wp:simplePos x="0" y="0"/>
            <wp:positionH relativeFrom="page">
              <wp:posOffset>0</wp:posOffset>
            </wp:positionH>
            <wp:positionV relativeFrom="page">
              <wp:posOffset>0</wp:posOffset>
            </wp:positionV>
            <wp:extent cx="7772400" cy="10094026"/>
            <wp:effectExtent l="0" t="0" r="0" b="0"/>
            <wp:wrapNone/>
            <wp:docPr id="130602839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7772400" cy="10094026"/>
                    </a:xfrm>
                    <a:prstGeom prst="rect">
                      <a:avLst/>
                    </a:prstGeom>
                    <a:ln/>
                  </pic:spPr>
                </pic:pic>
              </a:graphicData>
            </a:graphic>
          </wp:anchor>
        </w:drawing>
      </w:r>
      <w:r>
        <w:t xml:space="preserve"> </w:t>
      </w:r>
    </w:p>
    <w:sectPr w:rsidR="00BF02D1">
      <w:footerReference w:type="default" r:id="rId37"/>
      <w:pgSz w:w="12240" w:h="15840"/>
      <w:pgMar w:top="1361" w:right="1361" w:bottom="1361" w:left="1361"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37D81F" w14:textId="77777777" w:rsidR="00D4002D" w:rsidRDefault="00D4002D">
      <w:pPr>
        <w:spacing w:before="0" w:line="240" w:lineRule="auto"/>
      </w:pPr>
      <w:r>
        <w:separator/>
      </w:r>
    </w:p>
  </w:endnote>
  <w:endnote w:type="continuationSeparator" w:id="0">
    <w:p w14:paraId="4823F9D2" w14:textId="77777777" w:rsidR="00D4002D" w:rsidRDefault="00D4002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Lexend SemiBold">
    <w:charset w:val="4D"/>
    <w:family w:val="auto"/>
    <w:pitch w:val="variable"/>
    <w:sig w:usb0="A00000FF" w:usb1="4000205B" w:usb2="00000000" w:usb3="00000000" w:csb0="00000193" w:csb1="00000000"/>
    <w:embedRegular r:id="rId1" w:fontKey="{BA206C50-7CDE-4215-A11D-DA41309EF5E5}"/>
    <w:embedBold r:id="rId2" w:fontKey="{EEAC9265-4786-4F5E-8DBE-BAF942E80C8B}"/>
    <w:embedItalic r:id="rId3" w:fontKey="{9DC7F405-4F23-4671-B5D2-0D521B9142B1}"/>
  </w:font>
  <w:font w:name="Lexend">
    <w:altName w:val="Calibri"/>
    <w:charset w:val="4D"/>
    <w:family w:val="auto"/>
    <w:pitch w:val="variable"/>
    <w:sig w:usb0="A00000FF" w:usb1="4000205B" w:usb2="00000000" w:usb3="00000000" w:csb0="00000193" w:csb1="00000000"/>
    <w:embedRegular r:id="rId4" w:fontKey="{FF150975-6559-4F41-B590-C76AAE65804F}"/>
    <w:embedBold r:id="rId5" w:fontKey="{BF43EE30-B2AF-4FBC-B0CD-C41927CDB02A}"/>
  </w:font>
  <w:font w:name="Lexend Medium">
    <w:charset w:val="00"/>
    <w:family w:val="auto"/>
    <w:pitch w:val="default"/>
    <w:embedRegular r:id="rId6" w:fontKey="{E26C55F9-D4DF-44FA-8ADE-A13C434DBCDA}"/>
  </w:font>
  <w:font w:name="Georgia">
    <w:altName w:val="Georgia"/>
    <w:panose1 w:val="02040502050405020303"/>
    <w:charset w:val="00"/>
    <w:family w:val="roman"/>
    <w:pitch w:val="variable"/>
    <w:sig w:usb0="00000287" w:usb1="00000000" w:usb2="00000000" w:usb3="00000000" w:csb0="0000009F" w:csb1="00000000"/>
    <w:embedRegular r:id="rId7" w:fontKey="{0D2FD9CD-3964-4DA5-9D5F-BE039D85EE48}"/>
  </w:font>
  <w:font w:name="Calibri">
    <w:panose1 w:val="020F0502020204030204"/>
    <w:charset w:val="00"/>
    <w:family w:val="swiss"/>
    <w:pitch w:val="variable"/>
    <w:sig w:usb0="E4002EFF" w:usb1="C200247B" w:usb2="00000009" w:usb3="00000000" w:csb0="000001FF" w:csb1="00000000"/>
    <w:embedRegular r:id="rId8" w:fontKey="{7DCCF6B2-3E84-494D-BDF0-900A336F8472}"/>
  </w:font>
  <w:font w:name="Cambria">
    <w:panose1 w:val="02040503050406030204"/>
    <w:charset w:val="00"/>
    <w:family w:val="roman"/>
    <w:pitch w:val="variable"/>
    <w:sig w:usb0="E00006FF" w:usb1="420024FF" w:usb2="02000000" w:usb3="00000000" w:csb0="0000019F" w:csb1="00000000"/>
    <w:embedRegular r:id="rId9" w:fontKey="{F2074910-5886-466F-8367-757C42815D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B017F" w14:textId="250A19CB" w:rsidR="00BF02D1" w:rsidRDefault="00000000">
    <w:pPr>
      <w:spacing w:before="340"/>
      <w:jc w:val="right"/>
      <w:rPr>
        <w:rFonts w:ascii="Lexend SemiBold" w:eastAsia="Lexend SemiBold" w:hAnsi="Lexend SemiBold" w:cs="Lexend SemiBold"/>
        <w:color w:val="9FBDED"/>
      </w:rPr>
    </w:pPr>
    <w:r>
      <w:rPr>
        <w:rFonts w:ascii="Lexend SemiBold" w:eastAsia="Lexend SemiBold" w:hAnsi="Lexend SemiBold" w:cs="Lexend SemiBold"/>
        <w:color w:val="9FBDED"/>
      </w:rPr>
      <w:fldChar w:fldCharType="begin"/>
    </w:r>
    <w:r>
      <w:rPr>
        <w:rFonts w:ascii="Lexend SemiBold" w:eastAsia="Lexend SemiBold" w:hAnsi="Lexend SemiBold" w:cs="Lexend SemiBold"/>
        <w:color w:val="9FBDED"/>
      </w:rPr>
      <w:instrText>PAGE</w:instrText>
    </w:r>
    <w:r>
      <w:rPr>
        <w:rFonts w:ascii="Lexend SemiBold" w:eastAsia="Lexend SemiBold" w:hAnsi="Lexend SemiBold" w:cs="Lexend SemiBold"/>
        <w:color w:val="9FBDED"/>
      </w:rPr>
      <w:fldChar w:fldCharType="separate"/>
    </w:r>
    <w:r w:rsidR="0033399E">
      <w:rPr>
        <w:rFonts w:ascii="Lexend SemiBold" w:eastAsia="Lexend SemiBold" w:hAnsi="Lexend SemiBold" w:cs="Lexend SemiBold"/>
        <w:noProof/>
        <w:color w:val="9FBDED"/>
      </w:rPr>
      <w:t>1</w:t>
    </w:r>
    <w:r>
      <w:rPr>
        <w:rFonts w:ascii="Lexend SemiBold" w:eastAsia="Lexend SemiBold" w:hAnsi="Lexend SemiBold" w:cs="Lexend SemiBold"/>
        <w:color w:val="9FBDED"/>
      </w:rPr>
      <w:fldChar w:fldCharType="end"/>
    </w:r>
    <w:r>
      <w:rPr>
        <w:noProof/>
      </w:rPr>
      <w:drawing>
        <wp:anchor distT="0" distB="0" distL="0" distR="0" simplePos="0" relativeHeight="251658240" behindDoc="1" locked="0" layoutInCell="1" hidden="0" allowOverlap="1" wp14:anchorId="4E1B0180" wp14:editId="4E1B0181">
          <wp:simplePos x="0" y="0"/>
          <wp:positionH relativeFrom="column">
            <wp:posOffset>5495744</wp:posOffset>
          </wp:positionH>
          <wp:positionV relativeFrom="paragraph">
            <wp:posOffset>42545</wp:posOffset>
          </wp:positionV>
          <wp:extent cx="965820" cy="603638"/>
          <wp:effectExtent l="0" t="0" r="0" b="0"/>
          <wp:wrapNone/>
          <wp:docPr id="130602837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965820" cy="603638"/>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700B27" w14:textId="77777777" w:rsidR="00D4002D" w:rsidRDefault="00D4002D">
      <w:pPr>
        <w:spacing w:before="0" w:line="240" w:lineRule="auto"/>
      </w:pPr>
      <w:r>
        <w:separator/>
      </w:r>
    </w:p>
  </w:footnote>
  <w:footnote w:type="continuationSeparator" w:id="0">
    <w:p w14:paraId="2896A693" w14:textId="77777777" w:rsidR="00D4002D" w:rsidRDefault="00D4002D">
      <w:pPr>
        <w:spacing w:before="0" w:line="240" w:lineRule="auto"/>
      </w:pPr>
      <w:r>
        <w:continuationSeparator/>
      </w:r>
    </w:p>
  </w:footnote>
  <w:footnote w:id="1">
    <w:p w14:paraId="4E1B0182" w14:textId="77777777" w:rsidR="00BF02D1" w:rsidRPr="0033399E" w:rsidRDefault="00000000">
      <w:pPr>
        <w:spacing w:before="120" w:line="240" w:lineRule="auto"/>
        <w:jc w:val="left"/>
        <w:rPr>
          <w:color w:val="131A45"/>
          <w:sz w:val="20"/>
          <w:szCs w:val="20"/>
          <w:lang w:val="en-CA"/>
        </w:rPr>
      </w:pPr>
      <w:r>
        <w:rPr>
          <w:vertAlign w:val="superscript"/>
        </w:rPr>
        <w:footnoteRef/>
      </w:r>
      <w:r>
        <w:rPr>
          <w:color w:val="131A45"/>
          <w:sz w:val="20"/>
          <w:szCs w:val="20"/>
        </w:rPr>
        <w:t xml:space="preserve"> Traduction de </w:t>
      </w:r>
      <w:r w:rsidRPr="00C23744">
        <w:rPr>
          <w:i/>
          <w:color w:val="131A45"/>
          <w:sz w:val="20"/>
          <w:szCs w:val="20"/>
        </w:rPr>
        <w:t>disability studies</w:t>
      </w:r>
      <w:r>
        <w:rPr>
          <w:color w:val="131A45"/>
          <w:sz w:val="20"/>
          <w:szCs w:val="20"/>
        </w:rPr>
        <w:t xml:space="preserve">. Il est à noter que les études francophones connaissent un certain retard quant au développement des divers concepts élaborés dans le cadre des études en anglais. Vous pouvez consulter cet article sur ce sujet : Bérubé, P. (2023). Entre </w:t>
      </w:r>
      <w:r w:rsidRPr="00C23744">
        <w:rPr>
          <w:color w:val="131A45"/>
          <w:sz w:val="20"/>
          <w:szCs w:val="20"/>
        </w:rPr>
        <w:t>disability studies</w:t>
      </w:r>
      <w:r>
        <w:rPr>
          <w:color w:val="131A45"/>
          <w:sz w:val="20"/>
          <w:szCs w:val="20"/>
        </w:rPr>
        <w:t xml:space="preserve"> et études sur le handicap: 40 ans d’enjeux d’accès, de traduction et d’éducation. </w:t>
      </w:r>
      <w:r w:rsidRPr="0033399E">
        <w:rPr>
          <w:i/>
          <w:color w:val="131A45"/>
          <w:sz w:val="20"/>
          <w:szCs w:val="20"/>
          <w:lang w:val="en-CA"/>
        </w:rPr>
        <w:t>Canadian Journal of Disability Studies, 12</w:t>
      </w:r>
      <w:r w:rsidRPr="0033399E">
        <w:rPr>
          <w:color w:val="131A45"/>
          <w:sz w:val="20"/>
          <w:szCs w:val="20"/>
          <w:lang w:val="en-CA"/>
        </w:rPr>
        <w:t>(2), 177-202.</w:t>
      </w:r>
    </w:p>
  </w:footnote>
  <w:footnote w:id="2">
    <w:p w14:paraId="4E1B0183" w14:textId="77777777" w:rsidR="00BF02D1" w:rsidRPr="0033399E" w:rsidRDefault="00000000">
      <w:pPr>
        <w:spacing w:before="120" w:line="240" w:lineRule="auto"/>
        <w:rPr>
          <w:color w:val="131A45"/>
          <w:sz w:val="20"/>
          <w:szCs w:val="20"/>
          <w:lang w:val="en-CA"/>
        </w:rPr>
      </w:pPr>
      <w:r>
        <w:rPr>
          <w:vertAlign w:val="superscript"/>
        </w:rPr>
        <w:footnoteRef/>
      </w:r>
      <w:r w:rsidRPr="0033399E">
        <w:rPr>
          <w:color w:val="131A45"/>
          <w:sz w:val="20"/>
          <w:szCs w:val="20"/>
          <w:lang w:val="en-CA"/>
        </w:rPr>
        <w:t xml:space="preserve"> </w:t>
      </w:r>
      <w:r w:rsidRPr="0033399E">
        <w:rPr>
          <w:color w:val="131A45"/>
          <w:sz w:val="20"/>
          <w:szCs w:val="20"/>
          <w:lang w:val="en-CA"/>
        </w:rPr>
        <w:t xml:space="preserve">Traduction de </w:t>
      </w:r>
      <w:r w:rsidRPr="0033399E">
        <w:rPr>
          <w:i/>
          <w:color w:val="131A45"/>
          <w:sz w:val="20"/>
          <w:szCs w:val="20"/>
          <w:lang w:val="en-CA"/>
        </w:rPr>
        <w:t>mad studies</w:t>
      </w:r>
      <w:r w:rsidRPr="0033399E">
        <w:rPr>
          <w:color w:val="131A45"/>
          <w:sz w:val="20"/>
          <w:szCs w:val="20"/>
          <w:lang w:val="en-CA"/>
        </w:rPr>
        <w:t>.</w:t>
      </w:r>
    </w:p>
  </w:footnote>
  <w:footnote w:id="3">
    <w:p w14:paraId="4E1B0184" w14:textId="77777777" w:rsidR="00BF02D1" w:rsidRPr="0033399E" w:rsidRDefault="00000000">
      <w:pPr>
        <w:spacing w:before="120" w:line="240" w:lineRule="auto"/>
        <w:rPr>
          <w:color w:val="131A45"/>
          <w:sz w:val="20"/>
          <w:szCs w:val="20"/>
          <w:lang w:val="en-CA"/>
        </w:rPr>
      </w:pPr>
      <w:r>
        <w:rPr>
          <w:vertAlign w:val="superscript"/>
        </w:rPr>
        <w:footnoteRef/>
      </w:r>
      <w:r w:rsidRPr="0033399E">
        <w:rPr>
          <w:color w:val="131A45"/>
          <w:sz w:val="20"/>
          <w:szCs w:val="20"/>
          <w:lang w:val="en-CA"/>
        </w:rPr>
        <w:t xml:space="preserve"> </w:t>
      </w:r>
      <w:r w:rsidRPr="0033399E">
        <w:rPr>
          <w:color w:val="131A45"/>
          <w:sz w:val="20"/>
          <w:szCs w:val="20"/>
          <w:lang w:val="en-CA"/>
        </w:rPr>
        <w:t xml:space="preserve">Traduction de </w:t>
      </w:r>
      <w:r w:rsidRPr="0033399E">
        <w:rPr>
          <w:i/>
          <w:color w:val="131A45"/>
          <w:sz w:val="20"/>
          <w:szCs w:val="20"/>
          <w:lang w:val="en-CA"/>
        </w:rPr>
        <w:t>black disability studies</w:t>
      </w:r>
      <w:r w:rsidRPr="0033399E">
        <w:rPr>
          <w:color w:val="131A45"/>
          <w:sz w:val="20"/>
          <w:szCs w:val="20"/>
          <w:lang w:val="en-CA"/>
        </w:rPr>
        <w:t>.</w:t>
      </w:r>
    </w:p>
  </w:footnote>
  <w:footnote w:id="4">
    <w:p w14:paraId="4E1B0185" w14:textId="77777777" w:rsidR="00BF02D1" w:rsidRDefault="00000000">
      <w:pPr>
        <w:spacing w:before="120" w:line="240" w:lineRule="auto"/>
        <w:jc w:val="left"/>
        <w:rPr>
          <w:color w:val="131A45"/>
          <w:sz w:val="20"/>
          <w:szCs w:val="20"/>
        </w:rPr>
      </w:pPr>
      <w:r>
        <w:rPr>
          <w:vertAlign w:val="superscript"/>
        </w:rPr>
        <w:footnoteRef/>
      </w:r>
      <w:r>
        <w:rPr>
          <w:color w:val="131A45"/>
          <w:sz w:val="20"/>
          <w:szCs w:val="20"/>
        </w:rPr>
        <w:t xml:space="preserve"> Traduction de </w:t>
      </w:r>
      <w:r w:rsidRPr="00C23744">
        <w:rPr>
          <w:i/>
          <w:color w:val="131A45"/>
          <w:sz w:val="20"/>
          <w:szCs w:val="20"/>
        </w:rPr>
        <w:t>feminist disability studies</w:t>
      </w:r>
      <w:r>
        <w:rPr>
          <w:color w:val="131A45"/>
          <w:sz w:val="20"/>
          <w:szCs w:val="20"/>
        </w:rPr>
        <w:t xml:space="preserve">. On va parfois aussi les nommer « études en </w:t>
      </w:r>
      <w:r>
        <w:rPr>
          <w:color w:val="131A45"/>
          <w:sz w:val="20"/>
          <w:szCs w:val="20"/>
        </w:rPr>
        <w:t xml:space="preserve">handi-féminisme ».  </w:t>
      </w:r>
    </w:p>
  </w:footnote>
  <w:footnote w:id="5">
    <w:p w14:paraId="4E1B0186" w14:textId="77777777" w:rsidR="00BF02D1" w:rsidRDefault="00000000">
      <w:pPr>
        <w:spacing w:before="120" w:line="240" w:lineRule="auto"/>
        <w:jc w:val="left"/>
        <w:rPr>
          <w:color w:val="131A45"/>
          <w:sz w:val="20"/>
          <w:szCs w:val="20"/>
        </w:rPr>
      </w:pPr>
      <w:r>
        <w:rPr>
          <w:vertAlign w:val="superscript"/>
        </w:rPr>
        <w:footnoteRef/>
      </w:r>
      <w:r>
        <w:rPr>
          <w:color w:val="131A45"/>
          <w:sz w:val="20"/>
          <w:szCs w:val="20"/>
        </w:rPr>
        <w:t xml:space="preserve"> </w:t>
      </w:r>
      <w:r>
        <w:rPr>
          <w:color w:val="131A45"/>
          <w:sz w:val="20"/>
          <w:szCs w:val="20"/>
        </w:rPr>
        <w:t xml:space="preserve">Gardou, C. (2019). Il n’y a pas de société inclusive sans remise en cause de prés carrés. </w:t>
      </w:r>
      <w:r>
        <w:rPr>
          <w:i/>
          <w:color w:val="131A45"/>
          <w:sz w:val="20"/>
          <w:szCs w:val="20"/>
        </w:rPr>
        <w:t>Le Monde</w:t>
      </w:r>
      <w:r>
        <w:rPr>
          <w:color w:val="131A45"/>
          <w:sz w:val="20"/>
          <w:szCs w:val="20"/>
        </w:rPr>
        <w:t xml:space="preserve">, </w:t>
      </w:r>
      <w:hyperlink r:id="rId1">
        <w:r w:rsidR="00BF02D1">
          <w:rPr>
            <w:color w:val="131A45"/>
            <w:sz w:val="20"/>
            <w:szCs w:val="20"/>
            <w:u w:val="single"/>
          </w:rPr>
          <w:t>https://www.lemonde.fr/emploi/article/2019/12/16/charles-gardou-specialiste-du-handicap-il-n-y</w:t>
        </w:r>
        <w:r w:rsidR="00BF02D1">
          <w:rPr>
            <w:color w:val="131A45"/>
            <w:sz w:val="20"/>
            <w:szCs w:val="20"/>
            <w:u w:val="single"/>
          </w:rPr>
          <w:br/>
          <w:t>-a-pas-de-societe-inclusive-sans-remise-en-cause-de-pres-carres_6023003_1698637.htm</w:t>
        </w:r>
      </w:hyperlink>
    </w:p>
  </w:footnote>
  <w:footnote w:id="6">
    <w:p w14:paraId="4E1B0187" w14:textId="77777777" w:rsidR="00BF02D1" w:rsidRPr="0033399E" w:rsidRDefault="00000000">
      <w:pPr>
        <w:spacing w:before="120" w:line="240" w:lineRule="auto"/>
        <w:rPr>
          <w:sz w:val="20"/>
          <w:szCs w:val="20"/>
          <w:lang w:val="en-CA"/>
        </w:rPr>
      </w:pPr>
      <w:r>
        <w:rPr>
          <w:vertAlign w:val="superscript"/>
        </w:rPr>
        <w:footnoteRef/>
      </w:r>
      <w:r w:rsidRPr="0033399E">
        <w:rPr>
          <w:sz w:val="20"/>
          <w:szCs w:val="20"/>
          <w:lang w:val="en-CA"/>
        </w:rPr>
        <w:t xml:space="preserve"> </w:t>
      </w:r>
      <w:r w:rsidRPr="0033399E">
        <w:rPr>
          <w:sz w:val="20"/>
          <w:szCs w:val="20"/>
          <w:lang w:val="en-CA"/>
        </w:rPr>
        <w:t xml:space="preserve">Traduction libre de </w:t>
      </w:r>
      <w:r w:rsidRPr="0033399E">
        <w:rPr>
          <w:color w:val="131A45"/>
          <w:sz w:val="20"/>
          <w:szCs w:val="20"/>
          <w:lang w:val="en-CA"/>
        </w:rPr>
        <w:t xml:space="preserve">« </w:t>
      </w:r>
      <w:r w:rsidRPr="0033399E">
        <w:rPr>
          <w:i/>
          <w:sz w:val="20"/>
          <w:szCs w:val="20"/>
          <w:lang w:val="en-CA"/>
        </w:rPr>
        <w:t>Nothing about us without us</w:t>
      </w:r>
      <w:r w:rsidRPr="0033399E">
        <w:rPr>
          <w:color w:val="131A45"/>
          <w:sz w:val="20"/>
          <w:szCs w:val="20"/>
          <w:lang w:val="en-CA"/>
        </w:rPr>
        <w:t xml:space="preserve"> ».</w:t>
      </w:r>
    </w:p>
  </w:footnote>
  <w:footnote w:id="7">
    <w:p w14:paraId="4E1B0188" w14:textId="77777777" w:rsidR="00BF02D1" w:rsidRDefault="00000000">
      <w:pPr>
        <w:spacing w:before="120" w:line="240" w:lineRule="auto"/>
        <w:rPr>
          <w:sz w:val="20"/>
          <w:szCs w:val="20"/>
          <w:highlight w:val="yellow"/>
        </w:rPr>
      </w:pPr>
      <w:r>
        <w:rPr>
          <w:vertAlign w:val="superscript"/>
        </w:rPr>
        <w:footnoteRef/>
      </w:r>
      <w:r>
        <w:rPr>
          <w:sz w:val="20"/>
          <w:szCs w:val="20"/>
        </w:rPr>
        <w:t xml:space="preserve"> Traduction libre de </w:t>
      </w:r>
      <w:r>
        <w:rPr>
          <w:color w:val="131A45"/>
          <w:sz w:val="20"/>
          <w:szCs w:val="20"/>
        </w:rPr>
        <w:t xml:space="preserve">« </w:t>
      </w:r>
      <w:r w:rsidRPr="00C23744">
        <w:rPr>
          <w:i/>
          <w:sz w:val="20"/>
          <w:szCs w:val="20"/>
        </w:rPr>
        <w:t>Access Intimacy</w:t>
      </w:r>
      <w:r>
        <w:rPr>
          <w:color w:val="131A45"/>
          <w:sz w:val="20"/>
          <w:szCs w:val="20"/>
        </w:rPr>
        <w:t xml:space="preserve"> »</w:t>
      </w:r>
      <w:r>
        <w:rPr>
          <w:sz w:val="20"/>
          <w:szCs w:val="20"/>
        </w:rPr>
        <w:t>.</w:t>
      </w:r>
    </w:p>
  </w:footnote>
  <w:footnote w:id="8">
    <w:p w14:paraId="4E1B0189" w14:textId="77777777" w:rsidR="00BF02D1" w:rsidRPr="0033399E" w:rsidRDefault="00000000">
      <w:pPr>
        <w:spacing w:before="120" w:line="240" w:lineRule="auto"/>
        <w:jc w:val="left"/>
        <w:rPr>
          <w:color w:val="131A45"/>
          <w:sz w:val="20"/>
          <w:szCs w:val="20"/>
          <w:lang w:val="en-CA"/>
        </w:rPr>
      </w:pPr>
      <w:r>
        <w:rPr>
          <w:vertAlign w:val="superscript"/>
        </w:rPr>
        <w:footnoteRef/>
      </w:r>
      <w:r w:rsidRPr="0033399E">
        <w:rPr>
          <w:color w:val="131A45"/>
          <w:sz w:val="20"/>
          <w:szCs w:val="20"/>
          <w:lang w:val="en-CA"/>
        </w:rPr>
        <w:t xml:space="preserve"> Mingus, M. </w:t>
      </w:r>
      <w:r w:rsidRPr="00C23744">
        <w:rPr>
          <w:color w:val="131A45"/>
          <w:sz w:val="20"/>
          <w:szCs w:val="20"/>
          <w:lang w:val="en-CA"/>
        </w:rPr>
        <w:t>(2011).</w:t>
      </w:r>
      <w:r w:rsidRPr="0033399E">
        <w:rPr>
          <w:color w:val="131A45"/>
          <w:sz w:val="20"/>
          <w:szCs w:val="20"/>
          <w:lang w:val="en-CA"/>
        </w:rPr>
        <w:t xml:space="preserve"> Access intimacy the missing link. </w:t>
      </w:r>
      <w:r w:rsidRPr="0033399E">
        <w:rPr>
          <w:i/>
          <w:color w:val="131A45"/>
          <w:sz w:val="20"/>
          <w:szCs w:val="20"/>
          <w:lang w:val="en-CA"/>
        </w:rPr>
        <w:t>Leaving Evidence</w:t>
      </w:r>
      <w:r w:rsidRPr="0033399E">
        <w:rPr>
          <w:color w:val="131A45"/>
          <w:sz w:val="20"/>
          <w:szCs w:val="20"/>
          <w:lang w:val="en-CA"/>
        </w:rPr>
        <w:t xml:space="preserve">. </w:t>
      </w:r>
      <w:hyperlink r:id="rId2">
        <w:r w:rsidR="00BF02D1" w:rsidRPr="0033399E">
          <w:rPr>
            <w:color w:val="131A45"/>
            <w:sz w:val="20"/>
            <w:szCs w:val="20"/>
            <w:u w:val="single"/>
            <w:lang w:val="en-CA"/>
          </w:rPr>
          <w:t>https://leavingevidence.wordpress.com/2011/05/05/access-intimacy-the-missing-link/</w:t>
        </w:r>
      </w:hyperlink>
    </w:p>
  </w:footnote>
  <w:footnote w:id="9">
    <w:p w14:paraId="4E1B018A" w14:textId="77777777" w:rsidR="00BF02D1" w:rsidRDefault="00000000">
      <w:pPr>
        <w:spacing w:before="120" w:line="240" w:lineRule="auto"/>
        <w:rPr>
          <w:color w:val="131A45"/>
          <w:sz w:val="20"/>
          <w:szCs w:val="20"/>
        </w:rPr>
      </w:pPr>
      <w:r>
        <w:rPr>
          <w:vertAlign w:val="superscript"/>
        </w:rPr>
        <w:footnoteRef/>
      </w:r>
      <w:r>
        <w:rPr>
          <w:color w:val="131A45"/>
          <w:sz w:val="20"/>
          <w:szCs w:val="20"/>
        </w:rPr>
        <w:t xml:space="preserve"> Traduction du concept « </w:t>
      </w:r>
      <w:r w:rsidRPr="00C23744">
        <w:rPr>
          <w:i/>
          <w:color w:val="131A45"/>
          <w:sz w:val="20"/>
          <w:szCs w:val="20"/>
        </w:rPr>
        <w:t>curb-cut effect</w:t>
      </w:r>
      <w:r>
        <w:rPr>
          <w:color w:val="131A45"/>
          <w:sz w:val="20"/>
          <w:szCs w:val="20"/>
        </w:rPr>
        <w:t xml:space="preserve"> ».</w:t>
      </w:r>
    </w:p>
  </w:footnote>
  <w:footnote w:id="10">
    <w:p w14:paraId="4E1B018B" w14:textId="77777777" w:rsidR="00BF02D1" w:rsidRDefault="00000000">
      <w:pPr>
        <w:spacing w:before="120" w:line="240" w:lineRule="auto"/>
        <w:rPr>
          <w:color w:val="131A45"/>
          <w:sz w:val="16"/>
          <w:szCs w:val="16"/>
        </w:rPr>
      </w:pPr>
      <w:r>
        <w:rPr>
          <w:vertAlign w:val="superscript"/>
        </w:rPr>
        <w:footnoteRef/>
      </w:r>
      <w:r>
        <w:rPr>
          <w:color w:val="131A45"/>
          <w:sz w:val="20"/>
          <w:szCs w:val="20"/>
        </w:rPr>
        <w:t xml:space="preserve"> Traduction de « </w:t>
      </w:r>
      <w:r w:rsidRPr="00C23744">
        <w:rPr>
          <w:i/>
          <w:color w:val="131A45"/>
          <w:sz w:val="20"/>
          <w:szCs w:val="20"/>
        </w:rPr>
        <w:t>crip time</w:t>
      </w:r>
      <w:r>
        <w:rPr>
          <w:color w:val="131A45"/>
          <w:sz w:val="20"/>
          <w:szCs w:val="20"/>
        </w:rPr>
        <w:t xml:space="preserve"> », venant de la réappropriation de l’insulte « </w:t>
      </w:r>
      <w:r>
        <w:rPr>
          <w:i/>
          <w:color w:val="131A45"/>
          <w:sz w:val="20"/>
          <w:szCs w:val="20"/>
        </w:rPr>
        <w:t>cripple</w:t>
      </w:r>
      <w:r>
        <w:rPr>
          <w:color w:val="131A45"/>
          <w:sz w:val="20"/>
          <w:szCs w:val="20"/>
        </w:rPr>
        <w:t xml:space="preserve"> ». </w:t>
      </w:r>
    </w:p>
  </w:footnote>
  <w:footnote w:id="11">
    <w:p w14:paraId="4E1B018C" w14:textId="77777777" w:rsidR="00BF02D1" w:rsidRDefault="00000000">
      <w:pPr>
        <w:spacing w:before="120" w:line="240" w:lineRule="auto"/>
        <w:rPr>
          <w:color w:val="131A45"/>
          <w:sz w:val="20"/>
          <w:szCs w:val="20"/>
        </w:rPr>
      </w:pPr>
      <w:r>
        <w:rPr>
          <w:vertAlign w:val="superscript"/>
        </w:rPr>
        <w:footnoteRef/>
      </w:r>
      <w:r>
        <w:rPr>
          <w:color w:val="131A45"/>
          <w:sz w:val="20"/>
          <w:szCs w:val="20"/>
        </w:rPr>
        <w:t xml:space="preserve"> Pour en apprendre plus sur ce sujet, vous pouvez consulter : </w:t>
      </w:r>
      <w:r>
        <w:rPr>
          <w:color w:val="131A45"/>
          <w:sz w:val="20"/>
          <w:szCs w:val="20"/>
        </w:rPr>
        <w:t>Fougeyrollas, P., Fiset, D., Dumont, I., Grenier, Y., Boucher, N. &amp; Gamache, S. (2019).</w:t>
      </w:r>
      <w:r>
        <w:rPr>
          <w:i/>
          <w:color w:val="131A45"/>
          <w:sz w:val="20"/>
          <w:szCs w:val="20"/>
        </w:rPr>
        <w:t xml:space="preserve"> </w:t>
      </w:r>
      <w:r>
        <w:rPr>
          <w:color w:val="131A45"/>
          <w:sz w:val="20"/>
          <w:szCs w:val="20"/>
        </w:rPr>
        <w:t xml:space="preserve">Réflexion critique sur la notion d’accessibilité universelle et articulation conceptuelle pour le développement d’environnements inclusifs. </w:t>
      </w:r>
      <w:r>
        <w:rPr>
          <w:i/>
          <w:color w:val="131A45"/>
          <w:sz w:val="20"/>
          <w:szCs w:val="20"/>
        </w:rPr>
        <w:t xml:space="preserve">Développement Humain, Handicap et Changement Social / </w:t>
      </w:r>
      <w:r w:rsidRPr="001339EF">
        <w:rPr>
          <w:i/>
          <w:color w:val="131A45"/>
          <w:sz w:val="20"/>
          <w:szCs w:val="20"/>
          <w:lang w:val="en-CA"/>
        </w:rPr>
        <w:t>Human Development, Disability, and Social Change</w:t>
      </w:r>
      <w:r>
        <w:rPr>
          <w:i/>
          <w:color w:val="131A45"/>
          <w:sz w:val="20"/>
          <w:szCs w:val="20"/>
        </w:rPr>
        <w:t>, 25</w:t>
      </w:r>
      <w:r>
        <w:rPr>
          <w:color w:val="131A45"/>
          <w:sz w:val="20"/>
          <w:szCs w:val="20"/>
        </w:rPr>
        <w:t>(1), 161-175.</w:t>
      </w:r>
    </w:p>
  </w:footnote>
  <w:footnote w:id="12">
    <w:p w14:paraId="4E1B018D" w14:textId="77777777" w:rsidR="00BF02D1" w:rsidRDefault="00000000">
      <w:pPr>
        <w:spacing w:before="120" w:line="240" w:lineRule="auto"/>
        <w:rPr>
          <w:sz w:val="20"/>
          <w:szCs w:val="20"/>
        </w:rPr>
      </w:pPr>
      <w:r>
        <w:rPr>
          <w:vertAlign w:val="superscript"/>
        </w:rPr>
        <w:footnoteRef/>
      </w:r>
      <w:r>
        <w:rPr>
          <w:sz w:val="20"/>
          <w:szCs w:val="20"/>
        </w:rPr>
        <w:t xml:space="preserve"> Traduction du concept d</w:t>
      </w:r>
      <w:r>
        <w:rPr>
          <w:sz w:val="20"/>
          <w:szCs w:val="20"/>
        </w:rPr>
        <w:t>’</w:t>
      </w:r>
      <w:r>
        <w:rPr>
          <w:color w:val="131A45"/>
          <w:sz w:val="20"/>
          <w:szCs w:val="20"/>
        </w:rPr>
        <w:t xml:space="preserve">« </w:t>
      </w:r>
      <w:r w:rsidRPr="00C23744">
        <w:rPr>
          <w:i/>
          <w:sz w:val="20"/>
          <w:szCs w:val="20"/>
        </w:rPr>
        <w:t>inspiration porn</w:t>
      </w:r>
      <w:r>
        <w:rPr>
          <w:sz w:val="20"/>
          <w:szCs w:val="20"/>
        </w:rPr>
        <w:t xml:space="preserve"> ».</w:t>
      </w:r>
    </w:p>
  </w:footnote>
  <w:footnote w:id="13">
    <w:p w14:paraId="4E1B018E" w14:textId="77777777" w:rsidR="00BF02D1" w:rsidRDefault="00000000">
      <w:pPr>
        <w:spacing w:before="120" w:line="240" w:lineRule="auto"/>
        <w:rPr>
          <w:sz w:val="20"/>
          <w:szCs w:val="20"/>
        </w:rPr>
      </w:pPr>
      <w:r>
        <w:rPr>
          <w:vertAlign w:val="superscript"/>
        </w:rPr>
        <w:footnoteRef/>
      </w:r>
      <w:r>
        <w:rPr>
          <w:sz w:val="20"/>
          <w:szCs w:val="20"/>
        </w:rPr>
        <w:t xml:space="preserve"> Traduction libre du concept de </w:t>
      </w:r>
      <w:r>
        <w:rPr>
          <w:color w:val="131A45"/>
          <w:sz w:val="20"/>
          <w:szCs w:val="20"/>
        </w:rPr>
        <w:t xml:space="preserve">« </w:t>
      </w:r>
      <w:r w:rsidRPr="00C23744">
        <w:rPr>
          <w:i/>
          <w:sz w:val="20"/>
          <w:szCs w:val="20"/>
        </w:rPr>
        <w:t>forced intimacy</w:t>
      </w:r>
      <w:r>
        <w:rPr>
          <w:sz w:val="20"/>
          <w:szCs w:val="20"/>
        </w:rPr>
        <w:t xml:space="preserve"> ».</w:t>
      </w:r>
    </w:p>
  </w:footnote>
  <w:footnote w:id="14">
    <w:p w14:paraId="4E1B018F" w14:textId="77777777" w:rsidR="00BF02D1" w:rsidRDefault="00000000">
      <w:pPr>
        <w:spacing w:before="120" w:line="240" w:lineRule="auto"/>
        <w:rPr>
          <w:sz w:val="20"/>
          <w:szCs w:val="20"/>
        </w:rPr>
      </w:pPr>
      <w:r>
        <w:rPr>
          <w:vertAlign w:val="superscript"/>
        </w:rPr>
        <w:footnoteRef/>
      </w:r>
      <w:r>
        <w:rPr>
          <w:sz w:val="20"/>
          <w:szCs w:val="20"/>
        </w:rPr>
        <w:t xml:space="preserve"> Traduction de </w:t>
      </w:r>
      <w:r>
        <w:rPr>
          <w:color w:val="131A45"/>
          <w:sz w:val="20"/>
          <w:szCs w:val="20"/>
        </w:rPr>
        <w:t xml:space="preserve">« </w:t>
      </w:r>
      <w:r>
        <w:rPr>
          <w:sz w:val="20"/>
          <w:szCs w:val="20"/>
        </w:rPr>
        <w:t>c</w:t>
      </w:r>
      <w:r>
        <w:rPr>
          <w:i/>
          <w:sz w:val="20"/>
          <w:szCs w:val="20"/>
        </w:rPr>
        <w:t>rip art</w:t>
      </w:r>
      <w:r>
        <w:rPr>
          <w:sz w:val="20"/>
          <w:szCs w:val="20"/>
        </w:rPr>
        <w:t xml:space="preserve"> ». </w:t>
      </w:r>
    </w:p>
  </w:footnote>
  <w:footnote w:id="15">
    <w:p w14:paraId="4E1B0190" w14:textId="77777777" w:rsidR="00BF02D1" w:rsidRDefault="00000000">
      <w:pPr>
        <w:spacing w:before="120" w:line="240" w:lineRule="auto"/>
        <w:rPr>
          <w:sz w:val="20"/>
          <w:szCs w:val="20"/>
        </w:rPr>
      </w:pPr>
      <w:r>
        <w:rPr>
          <w:vertAlign w:val="superscript"/>
        </w:rPr>
        <w:footnoteRef/>
      </w:r>
      <w:r>
        <w:rPr>
          <w:sz w:val="20"/>
          <w:szCs w:val="20"/>
        </w:rPr>
        <w:t xml:space="preserve"> Traduction de </w:t>
      </w:r>
      <w:r>
        <w:rPr>
          <w:color w:val="131A45"/>
          <w:sz w:val="20"/>
          <w:szCs w:val="20"/>
        </w:rPr>
        <w:t xml:space="preserve">« </w:t>
      </w:r>
      <w:r w:rsidRPr="00C23744">
        <w:rPr>
          <w:i/>
          <w:sz w:val="20"/>
          <w:szCs w:val="20"/>
        </w:rPr>
        <w:t>mad art</w:t>
      </w:r>
      <w:r>
        <w:rPr>
          <w:sz w:val="20"/>
          <w:szCs w:val="20"/>
        </w:rPr>
        <w:t xml:space="preserve"> ».</w:t>
      </w:r>
    </w:p>
  </w:footnote>
  <w:footnote w:id="16">
    <w:p w14:paraId="4E1B0191" w14:textId="77777777" w:rsidR="00BF02D1" w:rsidRPr="0033399E" w:rsidRDefault="00000000">
      <w:pPr>
        <w:spacing w:before="120" w:line="240" w:lineRule="auto"/>
        <w:rPr>
          <w:color w:val="131A45"/>
          <w:sz w:val="20"/>
          <w:szCs w:val="20"/>
          <w:u w:val="single"/>
          <w:lang w:val="en-CA"/>
        </w:rPr>
      </w:pPr>
      <w:r>
        <w:rPr>
          <w:vertAlign w:val="superscript"/>
        </w:rPr>
        <w:footnoteRef/>
      </w:r>
      <w:r>
        <w:rPr>
          <w:sz w:val="20"/>
          <w:szCs w:val="20"/>
        </w:rPr>
        <w:t xml:space="preserve"> Ces trois derniers points sont tirés de : </w:t>
      </w:r>
      <w:r w:rsidRPr="00C23744">
        <w:rPr>
          <w:color w:val="131A45"/>
          <w:sz w:val="20"/>
          <w:szCs w:val="20"/>
        </w:rPr>
        <w:t>Treviranus, J</w:t>
      </w:r>
      <w:r>
        <w:rPr>
          <w:color w:val="131A45"/>
          <w:sz w:val="20"/>
          <w:szCs w:val="20"/>
        </w:rPr>
        <w:t xml:space="preserve">. (2018). </w:t>
      </w:r>
      <w:r w:rsidRPr="0033399E">
        <w:rPr>
          <w:i/>
          <w:color w:val="131A45"/>
          <w:sz w:val="20"/>
          <w:szCs w:val="20"/>
          <w:lang w:val="en-CA"/>
        </w:rPr>
        <w:t>The three dimensions of inclusive design: A design framework for a digitally transformed and complexly connected society</w:t>
      </w:r>
      <w:r w:rsidRPr="0033399E">
        <w:rPr>
          <w:color w:val="131A45"/>
          <w:sz w:val="20"/>
          <w:szCs w:val="20"/>
          <w:lang w:val="en-CA"/>
        </w:rPr>
        <w:t xml:space="preserve"> [</w:t>
      </w:r>
      <w:r w:rsidRPr="0033399E">
        <w:rPr>
          <w:color w:val="131A45"/>
          <w:sz w:val="20"/>
          <w:szCs w:val="20"/>
          <w:lang w:val="en-CA"/>
        </w:rPr>
        <w:t xml:space="preserve">thèse de doctorat, University College Dublin]. OCAD University Open Research Repository. </w:t>
      </w:r>
      <w:hyperlink r:id="rId3">
        <w:r w:rsidR="00BF02D1" w:rsidRPr="0033399E">
          <w:rPr>
            <w:color w:val="131A45"/>
            <w:sz w:val="20"/>
            <w:szCs w:val="20"/>
            <w:u w:val="single"/>
            <w:lang w:val="en-CA"/>
          </w:rPr>
          <w:t>https://openresearch.ocadu.ca/i</w:t>
        </w:r>
        <w:r w:rsidR="00BF02D1" w:rsidRPr="0033399E">
          <w:rPr>
            <w:color w:val="131A45"/>
            <w:sz w:val="20"/>
            <w:szCs w:val="20"/>
            <w:u w:val="single"/>
            <w:lang w:val="en-CA"/>
          </w:rPr>
          <w:br/>
          <w:t>d/eprint/2745</w:t>
        </w:r>
      </w:hyperlink>
    </w:p>
  </w:footnote>
  <w:footnote w:id="17">
    <w:p w14:paraId="4E1B0192" w14:textId="77777777" w:rsidR="00BF02D1" w:rsidRDefault="00000000">
      <w:pPr>
        <w:spacing w:before="120" w:line="240" w:lineRule="auto"/>
        <w:rPr>
          <w:color w:val="131A45"/>
          <w:sz w:val="20"/>
          <w:szCs w:val="20"/>
        </w:rPr>
      </w:pPr>
      <w:r>
        <w:rPr>
          <w:vertAlign w:val="superscript"/>
        </w:rPr>
        <w:footnoteRef/>
      </w:r>
      <w:r>
        <w:rPr>
          <w:color w:val="131A45"/>
          <w:sz w:val="20"/>
          <w:szCs w:val="20"/>
        </w:rPr>
        <w:t xml:space="preserve"> Traduction libre de « </w:t>
      </w:r>
      <w:r w:rsidRPr="00C23744">
        <w:rPr>
          <w:i/>
          <w:color w:val="131A45"/>
          <w:sz w:val="20"/>
          <w:szCs w:val="20"/>
        </w:rPr>
        <w:t>blindness gain</w:t>
      </w:r>
      <w:r>
        <w:rPr>
          <w:sz w:val="20"/>
          <w:szCs w:val="20"/>
        </w:rPr>
        <w:t xml:space="preserve"> ». </w:t>
      </w:r>
    </w:p>
  </w:footnote>
  <w:footnote w:id="18">
    <w:p w14:paraId="4E1B0193" w14:textId="77777777" w:rsidR="00BF02D1" w:rsidRPr="00C23744" w:rsidRDefault="00000000">
      <w:pPr>
        <w:spacing w:before="120" w:line="240" w:lineRule="auto"/>
        <w:rPr>
          <w:color w:val="131A45"/>
          <w:sz w:val="20"/>
          <w:szCs w:val="20"/>
          <w:lang w:val="en-CA"/>
        </w:rPr>
      </w:pPr>
      <w:r>
        <w:rPr>
          <w:vertAlign w:val="superscript"/>
        </w:rPr>
        <w:footnoteRef/>
      </w:r>
      <w:r w:rsidRPr="0033399E">
        <w:rPr>
          <w:color w:val="131A45"/>
          <w:sz w:val="20"/>
          <w:szCs w:val="20"/>
          <w:lang w:val="en-CA"/>
        </w:rPr>
        <w:t xml:space="preserve"> THOMPSON, H. </w:t>
      </w:r>
      <w:r w:rsidRPr="00C23744">
        <w:rPr>
          <w:color w:val="131A45"/>
          <w:sz w:val="20"/>
          <w:szCs w:val="20"/>
          <w:lang w:val="en-CA"/>
        </w:rPr>
        <w:t>(2018)</w:t>
      </w:r>
      <w:r w:rsidRPr="0033399E">
        <w:rPr>
          <w:color w:val="131A45"/>
          <w:sz w:val="20"/>
          <w:szCs w:val="20"/>
          <w:lang w:val="en-CA"/>
        </w:rPr>
        <w:t xml:space="preserve"> Blindness Gain and the Art of Non-Visual Reading, </w:t>
      </w:r>
    </w:p>
    <w:p w14:paraId="4E1B0194" w14:textId="77777777" w:rsidR="00BF02D1" w:rsidRPr="0033399E" w:rsidRDefault="00BF02D1">
      <w:pPr>
        <w:spacing w:before="0" w:line="240" w:lineRule="auto"/>
        <w:rPr>
          <w:color w:val="131A45"/>
          <w:sz w:val="20"/>
          <w:szCs w:val="20"/>
          <w:u w:val="single"/>
          <w:lang w:val="en-CA"/>
        </w:rPr>
      </w:pPr>
      <w:hyperlink r:id="rId4">
        <w:r w:rsidRPr="00C23744">
          <w:rPr>
            <w:color w:val="131A45"/>
            <w:sz w:val="20"/>
            <w:szCs w:val="20"/>
            <w:u w:val="single"/>
            <w:lang w:val="en-CA"/>
          </w:rPr>
          <w:t>https://hannah-thompson.blogspot.com/2018/10/blindness-gain-and-art-of-non-visual.html</w:t>
        </w:r>
      </w:hyperlink>
    </w:p>
  </w:footnote>
  <w:footnote w:id="19">
    <w:p w14:paraId="4E1B0195" w14:textId="77777777" w:rsidR="00BF02D1" w:rsidRDefault="00000000">
      <w:pPr>
        <w:spacing w:before="120" w:line="240" w:lineRule="auto"/>
        <w:rPr>
          <w:color w:val="131A45"/>
          <w:sz w:val="20"/>
          <w:szCs w:val="20"/>
        </w:rPr>
      </w:pPr>
      <w:r>
        <w:rPr>
          <w:vertAlign w:val="superscript"/>
        </w:rPr>
        <w:footnoteRef/>
      </w:r>
      <w:r>
        <w:rPr>
          <w:color w:val="131A45"/>
          <w:sz w:val="20"/>
          <w:szCs w:val="20"/>
        </w:rPr>
        <w:t xml:space="preserve"> Traduction libre du concept « </w:t>
      </w:r>
      <w:r w:rsidRPr="00C23744">
        <w:rPr>
          <w:i/>
          <w:color w:val="131A45"/>
          <w:sz w:val="20"/>
          <w:szCs w:val="20"/>
        </w:rPr>
        <w:t>sensory gain</w:t>
      </w:r>
      <w:r>
        <w:rPr>
          <w:sz w:val="20"/>
          <w:szCs w:val="20"/>
        </w:rPr>
        <w:t xml:space="preserve"> ». </w:t>
      </w:r>
      <w:r>
        <w:rPr>
          <w:color w:val="131A45"/>
          <w:sz w:val="20"/>
          <w:szCs w:val="20"/>
        </w:rPr>
        <w:t xml:space="preserve"> </w:t>
      </w:r>
    </w:p>
  </w:footnote>
  <w:footnote w:id="20">
    <w:p w14:paraId="4E1B0196" w14:textId="77777777" w:rsidR="00BF02D1" w:rsidRDefault="00000000">
      <w:pPr>
        <w:spacing w:before="120" w:line="240" w:lineRule="auto"/>
        <w:rPr>
          <w:color w:val="131A45"/>
          <w:sz w:val="20"/>
          <w:szCs w:val="20"/>
        </w:rPr>
      </w:pPr>
      <w:r>
        <w:rPr>
          <w:vertAlign w:val="superscript"/>
        </w:rPr>
        <w:footnoteRef/>
      </w:r>
      <w:r>
        <w:rPr>
          <w:color w:val="131A45"/>
          <w:sz w:val="20"/>
          <w:szCs w:val="20"/>
        </w:rPr>
        <w:t xml:space="preserve"> Traduction libre de « </w:t>
      </w:r>
      <w:r w:rsidRPr="00C23744">
        <w:rPr>
          <w:i/>
          <w:color w:val="131A45"/>
          <w:sz w:val="20"/>
          <w:szCs w:val="20"/>
        </w:rPr>
        <w:t>disability aesthetic</w:t>
      </w:r>
      <w:r>
        <w:rPr>
          <w:sz w:val="20"/>
          <w:szCs w:val="20"/>
        </w:rPr>
        <w:t xml:space="preserve"> ».</w:t>
      </w:r>
    </w:p>
  </w:footnote>
  <w:footnote w:id="21">
    <w:p w14:paraId="4E1B0197" w14:textId="77777777" w:rsidR="00BF02D1" w:rsidRDefault="00000000">
      <w:pPr>
        <w:spacing w:before="120" w:line="240" w:lineRule="auto"/>
        <w:jc w:val="left"/>
        <w:rPr>
          <w:i/>
          <w:sz w:val="20"/>
          <w:szCs w:val="20"/>
        </w:rPr>
      </w:pPr>
      <w:r>
        <w:rPr>
          <w:vertAlign w:val="superscript"/>
        </w:rPr>
        <w:footnoteRef/>
      </w:r>
      <w:r>
        <w:rPr>
          <w:color w:val="131A45"/>
          <w:sz w:val="20"/>
          <w:szCs w:val="20"/>
        </w:rPr>
        <w:t>Cette image est tirée de: Payette-</w:t>
      </w:r>
      <w:r>
        <w:rPr>
          <w:color w:val="131A45"/>
          <w:sz w:val="20"/>
          <w:szCs w:val="20"/>
        </w:rPr>
        <w:t xml:space="preserve">Dalpé, E. (2024) Les recommandations du comité de réflexion sur l’accessibilité des établissements culturels en arts vivants (Comité Duceppe), 2024. Travaux menés dans le cadre du projet doctoral d’Eveline Payette-Dalpé, Doctorat en études et pratiques des arts, UQAM. </w:t>
      </w:r>
      <w:r>
        <w:rPr>
          <w:color w:val="131A45"/>
          <w:sz w:val="20"/>
          <w:szCs w:val="20"/>
        </w:rPr>
        <w:br/>
        <w:t xml:space="preserve">Si vous voulez en savoir plus, nous vous invitons aussi à consulter sa série balado </w:t>
      </w:r>
      <w:hyperlink r:id="rId5">
        <w:r w:rsidR="00BF02D1">
          <w:rPr>
            <w:i/>
            <w:sz w:val="20"/>
            <w:szCs w:val="20"/>
            <w:u w:val="single"/>
          </w:rPr>
          <w:t>Dialogue</w:t>
        </w:r>
      </w:hyperlink>
      <w:r>
        <w:rPr>
          <w:i/>
          <w:sz w:val="20"/>
          <w:szCs w:val="2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23578"/>
    <w:multiLevelType w:val="multilevel"/>
    <w:tmpl w:val="1098E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E82B38"/>
    <w:multiLevelType w:val="multilevel"/>
    <w:tmpl w:val="98E4F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0D2671"/>
    <w:multiLevelType w:val="multilevel"/>
    <w:tmpl w:val="E8465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712489"/>
    <w:multiLevelType w:val="multilevel"/>
    <w:tmpl w:val="876847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6290EB6"/>
    <w:multiLevelType w:val="multilevel"/>
    <w:tmpl w:val="0E38E0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6A40447"/>
    <w:multiLevelType w:val="multilevel"/>
    <w:tmpl w:val="94480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95D60F0"/>
    <w:multiLevelType w:val="multilevel"/>
    <w:tmpl w:val="35C65318"/>
    <w:lvl w:ilvl="0">
      <w:start w:val="1"/>
      <w:numFmt w:val="bullet"/>
      <w:lvlText w:val="➤"/>
      <w:lvlJc w:val="left"/>
      <w:pPr>
        <w:ind w:left="720" w:hanging="360"/>
      </w:pPr>
      <w:rPr>
        <w:color w:val="131A4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9FD5734"/>
    <w:multiLevelType w:val="multilevel"/>
    <w:tmpl w:val="4EB043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C030369"/>
    <w:multiLevelType w:val="multilevel"/>
    <w:tmpl w:val="125481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E6E393C"/>
    <w:multiLevelType w:val="multilevel"/>
    <w:tmpl w:val="E9A88C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EDD79C0"/>
    <w:multiLevelType w:val="multilevel"/>
    <w:tmpl w:val="201C12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F3B0B8D"/>
    <w:multiLevelType w:val="multilevel"/>
    <w:tmpl w:val="A4E67A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06D4BE1"/>
    <w:multiLevelType w:val="multilevel"/>
    <w:tmpl w:val="63AE74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2B31FB2"/>
    <w:multiLevelType w:val="multilevel"/>
    <w:tmpl w:val="6ACEC8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4425EE9"/>
    <w:multiLevelType w:val="multilevel"/>
    <w:tmpl w:val="913E69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65859E1"/>
    <w:multiLevelType w:val="multilevel"/>
    <w:tmpl w:val="CF7AF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77E69CB"/>
    <w:multiLevelType w:val="multilevel"/>
    <w:tmpl w:val="B2E69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80A7711"/>
    <w:multiLevelType w:val="multilevel"/>
    <w:tmpl w:val="28A6EF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80E0193"/>
    <w:multiLevelType w:val="multilevel"/>
    <w:tmpl w:val="017C48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96D0F0F"/>
    <w:multiLevelType w:val="multilevel"/>
    <w:tmpl w:val="C18A40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B0D73D0"/>
    <w:multiLevelType w:val="multilevel"/>
    <w:tmpl w:val="758A97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BD44A5D"/>
    <w:multiLevelType w:val="multilevel"/>
    <w:tmpl w:val="10D03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C6A3227"/>
    <w:multiLevelType w:val="multilevel"/>
    <w:tmpl w:val="6BF2A0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C701A74"/>
    <w:multiLevelType w:val="multilevel"/>
    <w:tmpl w:val="04C8A9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EA14595"/>
    <w:multiLevelType w:val="multilevel"/>
    <w:tmpl w:val="645C9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01C1D0F"/>
    <w:multiLevelType w:val="multilevel"/>
    <w:tmpl w:val="DAB4C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3620C6E"/>
    <w:multiLevelType w:val="multilevel"/>
    <w:tmpl w:val="2F984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4977361"/>
    <w:multiLevelType w:val="multilevel"/>
    <w:tmpl w:val="5FE444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7F22C99"/>
    <w:multiLevelType w:val="multilevel"/>
    <w:tmpl w:val="48A8B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FA336A3"/>
    <w:multiLevelType w:val="multilevel"/>
    <w:tmpl w:val="B5BC75A4"/>
    <w:lvl w:ilvl="0">
      <w:start w:val="1"/>
      <w:numFmt w:val="bullet"/>
      <w:lvlText w:val="➤"/>
      <w:lvlJc w:val="left"/>
      <w:pPr>
        <w:ind w:left="720" w:hanging="360"/>
      </w:pPr>
      <w:rPr>
        <w:color w:val="131A45"/>
        <w:u w:val="none"/>
      </w:rPr>
    </w:lvl>
    <w:lvl w:ilvl="1">
      <w:start w:val="1"/>
      <w:numFmt w:val="bullet"/>
      <w:lvlText w:val="➢"/>
      <w:lvlJc w:val="left"/>
      <w:pPr>
        <w:ind w:left="1440" w:hanging="360"/>
      </w:pPr>
      <w:rPr>
        <w:color w:val="131A45"/>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2291B86"/>
    <w:multiLevelType w:val="multilevel"/>
    <w:tmpl w:val="27847C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4031476"/>
    <w:multiLevelType w:val="multilevel"/>
    <w:tmpl w:val="71B48F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347F31B4"/>
    <w:multiLevelType w:val="multilevel"/>
    <w:tmpl w:val="1F80E4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87A5055"/>
    <w:multiLevelType w:val="multilevel"/>
    <w:tmpl w:val="403C9B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9096046"/>
    <w:multiLevelType w:val="multilevel"/>
    <w:tmpl w:val="573E7C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AB1485C"/>
    <w:multiLevelType w:val="multilevel"/>
    <w:tmpl w:val="6D329E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B7C472F"/>
    <w:multiLevelType w:val="multilevel"/>
    <w:tmpl w:val="31CE38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BEF7B4F"/>
    <w:multiLevelType w:val="multilevel"/>
    <w:tmpl w:val="B4A6E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D1A50EF"/>
    <w:multiLevelType w:val="multilevel"/>
    <w:tmpl w:val="30267A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1023942"/>
    <w:multiLevelType w:val="multilevel"/>
    <w:tmpl w:val="94FCF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2F85A70"/>
    <w:multiLevelType w:val="multilevel"/>
    <w:tmpl w:val="7FE29B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3654D8A"/>
    <w:multiLevelType w:val="multilevel"/>
    <w:tmpl w:val="BE9AB6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15:restartNumberingAfterBreak="0">
    <w:nsid w:val="4AB40FCE"/>
    <w:multiLevelType w:val="multilevel"/>
    <w:tmpl w:val="088AEC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F3603A6"/>
    <w:multiLevelType w:val="multilevel"/>
    <w:tmpl w:val="5E4E5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2856C67"/>
    <w:multiLevelType w:val="multilevel"/>
    <w:tmpl w:val="EBBE6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4946F95"/>
    <w:multiLevelType w:val="multilevel"/>
    <w:tmpl w:val="FC421D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61E03E2"/>
    <w:multiLevelType w:val="multilevel"/>
    <w:tmpl w:val="60A068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88B0B1E"/>
    <w:multiLevelType w:val="multilevel"/>
    <w:tmpl w:val="5F080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A274596"/>
    <w:multiLevelType w:val="multilevel"/>
    <w:tmpl w:val="B27A6A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A4D0A8F"/>
    <w:multiLevelType w:val="multilevel"/>
    <w:tmpl w:val="5C6C1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00908B6"/>
    <w:multiLevelType w:val="multilevel"/>
    <w:tmpl w:val="D90AE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18B6A0F"/>
    <w:multiLevelType w:val="multilevel"/>
    <w:tmpl w:val="1CFAE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637122F0"/>
    <w:multiLevelType w:val="multilevel"/>
    <w:tmpl w:val="231C3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5B224E6"/>
    <w:multiLevelType w:val="multilevel"/>
    <w:tmpl w:val="AD52B64E"/>
    <w:lvl w:ilvl="0">
      <w:start w:val="1"/>
      <w:numFmt w:val="bullet"/>
      <w:lvlText w:val="➤"/>
      <w:lvlJc w:val="left"/>
      <w:pPr>
        <w:ind w:left="720" w:hanging="360"/>
      </w:pPr>
      <w:rPr>
        <w:color w:val="131A4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5D318BE"/>
    <w:multiLevelType w:val="multilevel"/>
    <w:tmpl w:val="BF547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669B0A72"/>
    <w:multiLevelType w:val="multilevel"/>
    <w:tmpl w:val="B7D27F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72F38CB"/>
    <w:multiLevelType w:val="multilevel"/>
    <w:tmpl w:val="05AE4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A1167DA"/>
    <w:multiLevelType w:val="multilevel"/>
    <w:tmpl w:val="D60C0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6E614444"/>
    <w:multiLevelType w:val="multilevel"/>
    <w:tmpl w:val="5A70E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E627A97"/>
    <w:multiLevelType w:val="multilevel"/>
    <w:tmpl w:val="6CD6D6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700129B1"/>
    <w:multiLevelType w:val="multilevel"/>
    <w:tmpl w:val="538A30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0EF4ECF"/>
    <w:multiLevelType w:val="multilevel"/>
    <w:tmpl w:val="4468C3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719372F1"/>
    <w:multiLevelType w:val="multilevel"/>
    <w:tmpl w:val="B0E857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73037B90"/>
    <w:multiLevelType w:val="multilevel"/>
    <w:tmpl w:val="38DA93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73E27684"/>
    <w:multiLevelType w:val="multilevel"/>
    <w:tmpl w:val="14A42B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74192D27"/>
    <w:multiLevelType w:val="multilevel"/>
    <w:tmpl w:val="E73C8B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744E2586"/>
    <w:multiLevelType w:val="multilevel"/>
    <w:tmpl w:val="91A289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747E6158"/>
    <w:multiLevelType w:val="multilevel"/>
    <w:tmpl w:val="4C304F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753E2E30"/>
    <w:multiLevelType w:val="multilevel"/>
    <w:tmpl w:val="3C62F0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75CE233A"/>
    <w:multiLevelType w:val="multilevel"/>
    <w:tmpl w:val="47CE3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76817530"/>
    <w:multiLevelType w:val="multilevel"/>
    <w:tmpl w:val="F9E21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77C34691"/>
    <w:multiLevelType w:val="multilevel"/>
    <w:tmpl w:val="F05C9A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7916250F"/>
    <w:multiLevelType w:val="multilevel"/>
    <w:tmpl w:val="CDB894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793001ED"/>
    <w:multiLevelType w:val="multilevel"/>
    <w:tmpl w:val="418869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793944E3"/>
    <w:multiLevelType w:val="multilevel"/>
    <w:tmpl w:val="EBA0F5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7CA21571"/>
    <w:multiLevelType w:val="multilevel"/>
    <w:tmpl w:val="78143C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7CDF5093"/>
    <w:multiLevelType w:val="multilevel"/>
    <w:tmpl w:val="DA44E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8176925">
    <w:abstractNumId w:val="75"/>
  </w:num>
  <w:num w:numId="2" w16cid:durableId="1200168023">
    <w:abstractNumId w:val="33"/>
  </w:num>
  <w:num w:numId="3" w16cid:durableId="1310748995">
    <w:abstractNumId w:val="36"/>
  </w:num>
  <w:num w:numId="4" w16cid:durableId="424495145">
    <w:abstractNumId w:val="23"/>
  </w:num>
  <w:num w:numId="5" w16cid:durableId="276984017">
    <w:abstractNumId w:val="44"/>
  </w:num>
  <w:num w:numId="6" w16cid:durableId="2090693983">
    <w:abstractNumId w:val="41"/>
  </w:num>
  <w:num w:numId="7" w16cid:durableId="894123047">
    <w:abstractNumId w:val="5"/>
  </w:num>
  <w:num w:numId="8" w16cid:durableId="447238984">
    <w:abstractNumId w:val="53"/>
  </w:num>
  <w:num w:numId="9" w16cid:durableId="1667130395">
    <w:abstractNumId w:val="71"/>
  </w:num>
  <w:num w:numId="10" w16cid:durableId="1011563523">
    <w:abstractNumId w:val="7"/>
  </w:num>
  <w:num w:numId="11" w16cid:durableId="968052852">
    <w:abstractNumId w:val="25"/>
  </w:num>
  <w:num w:numId="12" w16cid:durableId="164130555">
    <w:abstractNumId w:val="52"/>
  </w:num>
  <w:num w:numId="13" w16cid:durableId="1777364774">
    <w:abstractNumId w:val="74"/>
  </w:num>
  <w:num w:numId="14" w16cid:durableId="123013633">
    <w:abstractNumId w:val="61"/>
  </w:num>
  <w:num w:numId="15" w16cid:durableId="818884045">
    <w:abstractNumId w:val="57"/>
  </w:num>
  <w:num w:numId="16" w16cid:durableId="272592032">
    <w:abstractNumId w:val="51"/>
  </w:num>
  <w:num w:numId="17" w16cid:durableId="1241449576">
    <w:abstractNumId w:val="37"/>
  </w:num>
  <w:num w:numId="18" w16cid:durableId="1682076547">
    <w:abstractNumId w:val="10"/>
  </w:num>
  <w:num w:numId="19" w16cid:durableId="582958024">
    <w:abstractNumId w:val="67"/>
  </w:num>
  <w:num w:numId="20" w16cid:durableId="1948611954">
    <w:abstractNumId w:val="17"/>
  </w:num>
  <w:num w:numId="21" w16cid:durableId="1825775482">
    <w:abstractNumId w:val="73"/>
  </w:num>
  <w:num w:numId="22" w16cid:durableId="37902190">
    <w:abstractNumId w:val="60"/>
  </w:num>
  <w:num w:numId="23" w16cid:durableId="1143080463">
    <w:abstractNumId w:val="76"/>
  </w:num>
  <w:num w:numId="24" w16cid:durableId="1239171390">
    <w:abstractNumId w:val="12"/>
  </w:num>
  <w:num w:numId="25" w16cid:durableId="1068115669">
    <w:abstractNumId w:val="66"/>
  </w:num>
  <w:num w:numId="26" w16cid:durableId="1679115248">
    <w:abstractNumId w:val="22"/>
  </w:num>
  <w:num w:numId="27" w16cid:durableId="477384126">
    <w:abstractNumId w:val="26"/>
  </w:num>
  <w:num w:numId="28" w16cid:durableId="1700662366">
    <w:abstractNumId w:val="20"/>
  </w:num>
  <w:num w:numId="29" w16cid:durableId="589385956">
    <w:abstractNumId w:val="4"/>
  </w:num>
  <w:num w:numId="30" w16cid:durableId="1190879223">
    <w:abstractNumId w:val="3"/>
  </w:num>
  <w:num w:numId="31" w16cid:durableId="1801801354">
    <w:abstractNumId w:val="35"/>
  </w:num>
  <w:num w:numId="32" w16cid:durableId="1821652150">
    <w:abstractNumId w:val="0"/>
  </w:num>
  <w:num w:numId="33" w16cid:durableId="1784378252">
    <w:abstractNumId w:val="50"/>
  </w:num>
  <w:num w:numId="34" w16cid:durableId="1115752178">
    <w:abstractNumId w:val="64"/>
  </w:num>
  <w:num w:numId="35" w16cid:durableId="964769932">
    <w:abstractNumId w:val="34"/>
  </w:num>
  <w:num w:numId="36" w16cid:durableId="201603254">
    <w:abstractNumId w:val="58"/>
  </w:num>
  <w:num w:numId="37" w16cid:durableId="1937863212">
    <w:abstractNumId w:val="72"/>
  </w:num>
  <w:num w:numId="38" w16cid:durableId="161631950">
    <w:abstractNumId w:val="8"/>
  </w:num>
  <w:num w:numId="39" w16cid:durableId="1941908954">
    <w:abstractNumId w:val="16"/>
  </w:num>
  <w:num w:numId="40" w16cid:durableId="330724185">
    <w:abstractNumId w:val="56"/>
  </w:num>
  <w:num w:numId="41" w16cid:durableId="515079370">
    <w:abstractNumId w:val="2"/>
  </w:num>
  <w:num w:numId="42" w16cid:durableId="1141967280">
    <w:abstractNumId w:val="68"/>
  </w:num>
  <w:num w:numId="43" w16cid:durableId="2024043647">
    <w:abstractNumId w:val="11"/>
  </w:num>
  <w:num w:numId="44" w16cid:durableId="1589074197">
    <w:abstractNumId w:val="14"/>
  </w:num>
  <w:num w:numId="45" w16cid:durableId="61832232">
    <w:abstractNumId w:val="29"/>
  </w:num>
  <w:num w:numId="46" w16cid:durableId="1889877989">
    <w:abstractNumId w:val="40"/>
  </w:num>
  <w:num w:numId="47" w16cid:durableId="1725063854">
    <w:abstractNumId w:val="45"/>
  </w:num>
  <w:num w:numId="48" w16cid:durableId="386295606">
    <w:abstractNumId w:val="21"/>
  </w:num>
  <w:num w:numId="49" w16cid:durableId="1909144905">
    <w:abstractNumId w:val="46"/>
  </w:num>
  <w:num w:numId="50" w16cid:durableId="1000548050">
    <w:abstractNumId w:val="49"/>
  </w:num>
  <w:num w:numId="51" w16cid:durableId="170920425">
    <w:abstractNumId w:val="54"/>
  </w:num>
  <w:num w:numId="52" w16cid:durableId="654188611">
    <w:abstractNumId w:val="19"/>
  </w:num>
  <w:num w:numId="53" w16cid:durableId="1157498774">
    <w:abstractNumId w:val="55"/>
  </w:num>
  <w:num w:numId="54" w16cid:durableId="431046283">
    <w:abstractNumId w:val="15"/>
  </w:num>
  <w:num w:numId="55" w16cid:durableId="635110360">
    <w:abstractNumId w:val="38"/>
  </w:num>
  <w:num w:numId="56" w16cid:durableId="640959882">
    <w:abstractNumId w:val="1"/>
  </w:num>
  <w:num w:numId="57" w16cid:durableId="369037986">
    <w:abstractNumId w:val="42"/>
  </w:num>
  <w:num w:numId="58" w16cid:durableId="491022941">
    <w:abstractNumId w:val="30"/>
  </w:num>
  <w:num w:numId="59" w16cid:durableId="1569609261">
    <w:abstractNumId w:val="32"/>
  </w:num>
  <w:num w:numId="60" w16cid:durableId="1350371916">
    <w:abstractNumId w:val="59"/>
  </w:num>
  <w:num w:numId="61" w16cid:durableId="602613726">
    <w:abstractNumId w:val="43"/>
  </w:num>
  <w:num w:numId="62" w16cid:durableId="2137872316">
    <w:abstractNumId w:val="39"/>
  </w:num>
  <w:num w:numId="63" w16cid:durableId="2144076657">
    <w:abstractNumId w:val="62"/>
  </w:num>
  <w:num w:numId="64" w16cid:durableId="1243834834">
    <w:abstractNumId w:val="47"/>
  </w:num>
  <w:num w:numId="65" w16cid:durableId="2033648879">
    <w:abstractNumId w:val="13"/>
  </w:num>
  <w:num w:numId="66" w16cid:durableId="119346891">
    <w:abstractNumId w:val="24"/>
  </w:num>
  <w:num w:numId="67" w16cid:durableId="955791057">
    <w:abstractNumId w:val="9"/>
  </w:num>
  <w:num w:numId="68" w16cid:durableId="39862036">
    <w:abstractNumId w:val="28"/>
  </w:num>
  <w:num w:numId="69" w16cid:durableId="1730152903">
    <w:abstractNumId w:val="63"/>
  </w:num>
  <w:num w:numId="70" w16cid:durableId="197276171">
    <w:abstractNumId w:val="18"/>
  </w:num>
  <w:num w:numId="71" w16cid:durableId="1310939746">
    <w:abstractNumId w:val="31"/>
  </w:num>
  <w:num w:numId="72" w16cid:durableId="1355115599">
    <w:abstractNumId w:val="6"/>
  </w:num>
  <w:num w:numId="73" w16cid:durableId="241186684">
    <w:abstractNumId w:val="27"/>
  </w:num>
  <w:num w:numId="74" w16cid:durableId="2068989645">
    <w:abstractNumId w:val="70"/>
  </w:num>
  <w:num w:numId="75" w16cid:durableId="1781680992">
    <w:abstractNumId w:val="48"/>
  </w:num>
  <w:num w:numId="76" w16cid:durableId="137766348">
    <w:abstractNumId w:val="65"/>
  </w:num>
  <w:num w:numId="77" w16cid:durableId="1122530584">
    <w:abstractNumId w:val="69"/>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2D1"/>
    <w:rsid w:val="0006092D"/>
    <w:rsid w:val="00127C15"/>
    <w:rsid w:val="001339EF"/>
    <w:rsid w:val="00141021"/>
    <w:rsid w:val="001414B1"/>
    <w:rsid w:val="00150213"/>
    <w:rsid w:val="00154A1C"/>
    <w:rsid w:val="001B313C"/>
    <w:rsid w:val="00205236"/>
    <w:rsid w:val="002947F3"/>
    <w:rsid w:val="00296B46"/>
    <w:rsid w:val="002A6220"/>
    <w:rsid w:val="0032095F"/>
    <w:rsid w:val="0033399E"/>
    <w:rsid w:val="0035569D"/>
    <w:rsid w:val="0038764F"/>
    <w:rsid w:val="003C14A2"/>
    <w:rsid w:val="0040501F"/>
    <w:rsid w:val="00413C35"/>
    <w:rsid w:val="00433870"/>
    <w:rsid w:val="004503D6"/>
    <w:rsid w:val="00462A74"/>
    <w:rsid w:val="004F0A4B"/>
    <w:rsid w:val="005069F7"/>
    <w:rsid w:val="00524039"/>
    <w:rsid w:val="00586DC4"/>
    <w:rsid w:val="005A27AB"/>
    <w:rsid w:val="00623F93"/>
    <w:rsid w:val="00644606"/>
    <w:rsid w:val="006D2CC3"/>
    <w:rsid w:val="00743AB1"/>
    <w:rsid w:val="00744C77"/>
    <w:rsid w:val="007D6403"/>
    <w:rsid w:val="007D6690"/>
    <w:rsid w:val="0083774B"/>
    <w:rsid w:val="00885343"/>
    <w:rsid w:val="009323BE"/>
    <w:rsid w:val="00936668"/>
    <w:rsid w:val="00951714"/>
    <w:rsid w:val="009C39AA"/>
    <w:rsid w:val="009F77CC"/>
    <w:rsid w:val="00A5000F"/>
    <w:rsid w:val="00A5218D"/>
    <w:rsid w:val="00A80588"/>
    <w:rsid w:val="00A85E1F"/>
    <w:rsid w:val="00AB6061"/>
    <w:rsid w:val="00AD28A3"/>
    <w:rsid w:val="00AF4BD6"/>
    <w:rsid w:val="00B41DA9"/>
    <w:rsid w:val="00BB18C7"/>
    <w:rsid w:val="00BF02D1"/>
    <w:rsid w:val="00C023EB"/>
    <w:rsid w:val="00C23744"/>
    <w:rsid w:val="00C54629"/>
    <w:rsid w:val="00C97DB9"/>
    <w:rsid w:val="00CE1E0C"/>
    <w:rsid w:val="00D11C03"/>
    <w:rsid w:val="00D4002D"/>
    <w:rsid w:val="00D42C04"/>
    <w:rsid w:val="00D91C84"/>
    <w:rsid w:val="00DB2127"/>
    <w:rsid w:val="00E67913"/>
    <w:rsid w:val="00E8123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AFE85"/>
  <w15:docId w15:val="{F492C438-16DA-4293-970E-41E591AB8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fr-CA" w:eastAsia="fr-CA" w:bidi="ar-SA"/>
      </w:rPr>
    </w:rPrDefault>
    <w:pPrDefault>
      <w:pPr>
        <w:spacing w:before="240" w:line="32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after="200"/>
      <w:jc w:val="left"/>
      <w:outlineLvl w:val="0"/>
    </w:pPr>
    <w:rPr>
      <w:rFonts w:ascii="Helvetica Neue" w:eastAsia="Helvetica Neue" w:hAnsi="Helvetica Neue" w:cs="Helvetica Neue"/>
      <w:b/>
      <w:color w:val="FFFFFF"/>
      <w:sz w:val="100"/>
      <w:szCs w:val="100"/>
    </w:rPr>
  </w:style>
  <w:style w:type="paragraph" w:styleId="Titre2">
    <w:name w:val="heading 2"/>
    <w:basedOn w:val="Normal"/>
    <w:next w:val="Normal"/>
    <w:uiPriority w:val="9"/>
    <w:unhideWhenUsed/>
    <w:qFormat/>
    <w:pPr>
      <w:keepNext/>
      <w:keepLines/>
      <w:pageBreakBefore/>
      <w:spacing w:after="1000"/>
      <w:jc w:val="right"/>
      <w:outlineLvl w:val="1"/>
    </w:pPr>
    <w:rPr>
      <w:rFonts w:ascii="Lexend SemiBold" w:eastAsia="Lexend SemiBold" w:hAnsi="Lexend SemiBold" w:cs="Lexend SemiBold"/>
      <w:color w:val="9FBDED"/>
      <w:sz w:val="32"/>
      <w:szCs w:val="32"/>
    </w:rPr>
  </w:style>
  <w:style w:type="paragraph" w:styleId="Titre3">
    <w:name w:val="heading 3"/>
    <w:basedOn w:val="Normal"/>
    <w:next w:val="Normal"/>
    <w:uiPriority w:val="9"/>
    <w:unhideWhenUsed/>
    <w:qFormat/>
    <w:pPr>
      <w:keepNext/>
      <w:keepLines/>
      <w:spacing w:before="800"/>
      <w:outlineLvl w:val="2"/>
    </w:pPr>
    <w:rPr>
      <w:rFonts w:ascii="Lexend SemiBold" w:eastAsia="Lexend SemiBold" w:hAnsi="Lexend SemiBold" w:cs="Lexend SemiBold"/>
      <w:color w:val="131A45"/>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rPr>
  </w:style>
  <w:style w:type="paragraph" w:styleId="Titre5">
    <w:name w:val="heading 5"/>
    <w:basedOn w:val="Normal"/>
    <w:next w:val="Normal"/>
    <w:uiPriority w:val="9"/>
    <w:semiHidden/>
    <w:unhideWhenUsed/>
    <w:qFormat/>
    <w:pPr>
      <w:keepNext/>
      <w:keepLines/>
      <w:spacing w:after="80"/>
      <w:outlineLvl w:val="4"/>
    </w:pPr>
    <w:rPr>
      <w:color w:val="666666"/>
      <w:sz w:val="22"/>
      <w:szCs w:val="22"/>
    </w:rPr>
  </w:style>
  <w:style w:type="paragraph" w:styleId="Titre6">
    <w:name w:val="heading 6"/>
    <w:basedOn w:val="Normal"/>
    <w:next w:val="Normal"/>
    <w:uiPriority w:val="9"/>
    <w:semiHidden/>
    <w:unhideWhenUsed/>
    <w:qFormat/>
    <w:pPr>
      <w:keepNext/>
      <w:keepLines/>
      <w:spacing w:after="80"/>
      <w:outlineLvl w:val="5"/>
    </w:pPr>
    <w:rPr>
      <w:i/>
      <w:color w:val="666666"/>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0"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0" w:after="320"/>
    </w:pPr>
    <w:rPr>
      <w:color w:val="666666"/>
      <w:sz w:val="30"/>
      <w:szCs w:val="30"/>
    </w:rPr>
  </w:style>
  <w:style w:type="paragraph" w:styleId="En-tte">
    <w:name w:val="header"/>
    <w:basedOn w:val="Normal"/>
    <w:link w:val="En-tteCar"/>
    <w:uiPriority w:val="99"/>
    <w:unhideWhenUsed/>
    <w:rsid w:val="00D159AA"/>
    <w:pPr>
      <w:tabs>
        <w:tab w:val="center" w:pos="4320"/>
        <w:tab w:val="right" w:pos="8640"/>
      </w:tabs>
      <w:spacing w:before="0" w:line="240" w:lineRule="auto"/>
    </w:pPr>
  </w:style>
  <w:style w:type="character" w:customStyle="1" w:styleId="En-tteCar">
    <w:name w:val="En-tête Car"/>
    <w:basedOn w:val="Policepardfaut"/>
    <w:link w:val="En-tte"/>
    <w:uiPriority w:val="99"/>
    <w:rsid w:val="00D159AA"/>
  </w:style>
  <w:style w:type="paragraph" w:styleId="Pieddepage">
    <w:name w:val="footer"/>
    <w:basedOn w:val="Normal"/>
    <w:link w:val="PieddepageCar"/>
    <w:uiPriority w:val="99"/>
    <w:unhideWhenUsed/>
    <w:rsid w:val="00D159AA"/>
    <w:pPr>
      <w:tabs>
        <w:tab w:val="center" w:pos="4320"/>
        <w:tab w:val="right" w:pos="8640"/>
      </w:tabs>
      <w:spacing w:before="0" w:line="240" w:lineRule="auto"/>
    </w:pPr>
  </w:style>
  <w:style w:type="character" w:customStyle="1" w:styleId="PieddepageCar">
    <w:name w:val="Pied de page Car"/>
    <w:basedOn w:val="Policepardfaut"/>
    <w:link w:val="Pieddepage"/>
    <w:uiPriority w:val="99"/>
    <w:rsid w:val="00D159AA"/>
  </w:style>
  <w:style w:type="character" w:styleId="Lienhypertexte">
    <w:name w:val="Hyperlink"/>
    <w:basedOn w:val="Policepardfaut"/>
    <w:uiPriority w:val="99"/>
    <w:unhideWhenUsed/>
    <w:rsid w:val="00E81238"/>
    <w:rPr>
      <w:color w:val="0000FF" w:themeColor="hyperlink"/>
      <w:u w:val="single"/>
    </w:rPr>
  </w:style>
  <w:style w:type="character" w:styleId="Mentionnonrsolue">
    <w:name w:val="Unresolved Mention"/>
    <w:basedOn w:val="Policepardfaut"/>
    <w:uiPriority w:val="99"/>
    <w:semiHidden/>
    <w:unhideWhenUsed/>
    <w:rsid w:val="00E812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revuejeu.org/2021/04/30/le-theatre-numerique-pas-seulement-une-reponse-a-la-pandemie/" TargetMode="External"/><Relationship Id="rId26" Type="http://schemas.openxmlformats.org/officeDocument/2006/relationships/hyperlink" Target="https://www150.statcan.gc.ca/n1/fr/catalogue/89-654-X" TargetMode="External"/><Relationship Id="rId39" Type="http://schemas.openxmlformats.org/officeDocument/2006/relationships/theme" Target="theme/theme1.xml"/><Relationship Id="rId21" Type="http://schemas.openxmlformats.org/officeDocument/2006/relationships/hyperlink" Target="http://www.theatredechaines.com" TargetMode="External"/><Relationship Id="rId34" Type="http://schemas.openxmlformats.org/officeDocument/2006/relationships/hyperlink" Target="mailto:info@theatredechaines.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theatredechaines.com/ressources" TargetMode="External"/><Relationship Id="rId25" Type="http://schemas.openxmlformats.org/officeDocument/2006/relationships/hyperlink" Target="https://leavingevidence.wordpress.com/2017/08/06/forced-intimacy-an-ableist-norm/" TargetMode="External"/><Relationship Id="rId33" Type="http://schemas.openxmlformats.org/officeDocument/2006/relationships/image" Target="media/image10.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8.jpg"/><Relationship Id="rId29" Type="http://schemas.openxmlformats.org/officeDocument/2006/relationships/hyperlink" Target="http://openresearch.ocadu.ca/id/eprint/274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leavingevidence.wordpress.com/2011/05/05/access-intimacy-the-missing-link/" TargetMode="External"/><Relationship Id="rId32" Type="http://schemas.openxmlformats.org/officeDocument/2006/relationships/image" Target="media/image9.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theatredechaines.com/ressources" TargetMode="External"/><Relationship Id="rId23" Type="http://schemas.openxmlformats.org/officeDocument/2006/relationships/hyperlink" Target="https://ssir.org/articles/entry/the_curb_cut_effect" TargetMode="External"/><Relationship Id="rId28" Type="http://schemas.openxmlformats.org/officeDocument/2006/relationships/hyperlink" Target="https://hannah-thompson.blogspot.com/2018/10/blindness-gain-and-art-of-non-visual.html" TargetMode="External"/><Relationship Id="rId36" Type="http://schemas.openxmlformats.org/officeDocument/2006/relationships/hyperlink" Target="http://www.theatredechaines.com/ressources" TargetMode="External"/><Relationship Id="rId10" Type="http://schemas.openxmlformats.org/officeDocument/2006/relationships/image" Target="media/image3.png"/><Relationship Id="rId19" Type="http://schemas.openxmlformats.org/officeDocument/2006/relationships/hyperlink" Target="http://www.theatredechaines.com/ressources" TargetMode="External"/><Relationship Id="rId31" Type="http://schemas.openxmlformats.org/officeDocument/2006/relationships/hyperlink" Target="https://www.ted.com/talks/stella_young_i_m_not_your_inspiration_thank_you_very_much"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yperlink" Target="https://www.lemonde.fr/emploi/article/2019/12/16/charles-gardou-specialiste-du-handicap-il-n-y-a-pas-de-societe-inclusive-sans-remise-en-cause-de-pres-carres_6023003_1698637.html" TargetMode="External"/><Relationship Id="rId27" Type="http://schemas.openxmlformats.org/officeDocument/2006/relationships/hyperlink" Target="https://kineticlight.org/" TargetMode="External"/><Relationship Id="rId30" Type="http://schemas.openxmlformats.org/officeDocument/2006/relationships/hyperlink" Target="https://fr.centrecannothold.com/blog/west-1" TargetMode="External"/><Relationship Id="rId35" Type="http://schemas.openxmlformats.org/officeDocument/2006/relationships/hyperlink" Target="https://www.theatredechaines.com/services" TargetMode="External"/><Relationship Id="rId8" Type="http://schemas.openxmlformats.org/officeDocument/2006/relationships/image" Target="media/image1.jp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3" Type="http://schemas.openxmlformats.org/officeDocument/2006/relationships/hyperlink" Target="https://openresearch.ocadu.ca/id/eprint/2745" TargetMode="External"/><Relationship Id="rId2" Type="http://schemas.openxmlformats.org/officeDocument/2006/relationships/hyperlink" Target="https://leavingevidence.wordpress.com/2011/05/05/access-intimacy-the-missing-link/" TargetMode="External"/><Relationship Id="rId1" Type="http://schemas.openxmlformats.org/officeDocument/2006/relationships/hyperlink" Target="https://www.lemonde.fr/emploi/article/2019/12/16/charles-gardou-specialiste-du-handicap-il-n-y-a-pas-de-societe-inclusive-sans-remise-en-cause-de-pres-carres_6023003_1698637.html" TargetMode="External"/><Relationship Id="rId5" Type="http://schemas.openxmlformats.org/officeDocument/2006/relationships/hyperlink" Target="https://www.youtube.com/watch?v=-Ch8ghtUGrI&amp;list=PLcuS-UZ81luuRq4sB5uSAlNerWWIPbp20" TargetMode="External"/><Relationship Id="rId4" Type="http://schemas.openxmlformats.org/officeDocument/2006/relationships/hyperlink" Target="https://hannah-thompson.blogspot.com/2018/10/blindness-gain-and-art-of-non-visual.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xJQPBTlg2NBsa1oOh36kQPlk+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OAByITFOLVg0S3lNUHhlMDR4VklDZjZHdjZ3WUV3WjlHems1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69</Pages>
  <Words>16891</Words>
  <Characters>88008</Characters>
  <Application>Microsoft Office Word</Application>
  <DocSecurity>0</DocSecurity>
  <Lines>1725</Lines>
  <Paragraphs>405</Paragraphs>
  <ScaleCrop>false</ScaleCrop>
  <Company/>
  <LinksUpToDate>false</LinksUpToDate>
  <CharactersWithSpaces>104494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Ayotte et Andrée-Anne Giguère</dc:creator>
  <cp:lastModifiedBy>RAAMM 26</cp:lastModifiedBy>
  <cp:revision>2</cp:revision>
  <dcterms:created xsi:type="dcterms:W3CDTF">2026-02-04T18:22:00Z</dcterms:created>
  <dcterms:modified xsi:type="dcterms:W3CDTF">2026-02-04T18:22:00Z</dcterms:modified>
</cp:coreProperties>
</file>